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0"/>
        <w:gridCol w:w="5002"/>
      </w:tblGrid>
      <w:tr w:rsidR="00165227" w:rsidRPr="00E718D7" w:rsidTr="00416675">
        <w:trPr>
          <w:trHeight w:val="483"/>
        </w:trPr>
        <w:tc>
          <w:tcPr>
            <w:tcW w:w="5110" w:type="dxa"/>
          </w:tcPr>
          <w:p w:rsidR="00165227" w:rsidRPr="00575E58" w:rsidRDefault="00165227" w:rsidP="00B55B58">
            <w:pPr>
              <w:pStyle w:val="Corpsdetexte"/>
              <w:rPr>
                <w:rFonts w:ascii="Marianne" w:hAnsi="Marianne"/>
                <w:szCs w:val="20"/>
              </w:rPr>
            </w:pPr>
            <w:bookmarkStart w:id="0" w:name="_GoBack"/>
            <w:bookmarkEnd w:id="0"/>
          </w:p>
          <w:p w:rsidR="00461249" w:rsidRPr="00575E58" w:rsidRDefault="00461249" w:rsidP="00B55B58">
            <w:pPr>
              <w:pStyle w:val="Corpsdetexte"/>
              <w:rPr>
                <w:rFonts w:ascii="Marianne" w:hAnsi="Marianne"/>
                <w:szCs w:val="20"/>
              </w:rPr>
            </w:pPr>
          </w:p>
          <w:p w:rsidR="00165227" w:rsidRPr="00575E58" w:rsidRDefault="00165227" w:rsidP="000827A6">
            <w:pPr>
              <w:ind w:left="-720"/>
              <w:rPr>
                <w:rFonts w:ascii="Marianne" w:hAnsi="Marianne" w:cs="Times New Roman"/>
                <w:sz w:val="20"/>
                <w:szCs w:val="20"/>
                <w:lang w:val="fr-FR" w:eastAsia="fr-FR"/>
              </w:rPr>
            </w:pPr>
            <w:r w:rsidRPr="00575E58">
              <w:rPr>
                <w:rFonts w:ascii="Marianne" w:hAnsi="Marianne"/>
                <w:sz w:val="20"/>
                <w:szCs w:val="20"/>
                <w:lang w:val="fr-FR"/>
              </w:rPr>
              <w:t>Réf :</w:t>
            </w:r>
            <w:r w:rsidR="00461249" w:rsidRPr="00575E58">
              <w:rPr>
                <w:rFonts w:ascii="Marianne" w:hAnsi="Marianne" w:cs="Times New Roman"/>
                <w:sz w:val="20"/>
                <w:szCs w:val="20"/>
                <w:lang w:val="fr-FR" w:eastAsia="fr-FR"/>
              </w:rPr>
              <w:t xml:space="preserve"> N/</w:t>
            </w:r>
          </w:p>
        </w:tc>
        <w:tc>
          <w:tcPr>
            <w:tcW w:w="5110" w:type="dxa"/>
          </w:tcPr>
          <w:p w:rsidR="00165227" w:rsidRPr="00575E58" w:rsidRDefault="00275D13" w:rsidP="00575E58">
            <w:pPr>
              <w:pStyle w:val="Date2"/>
              <w:rPr>
                <w:rFonts w:ascii="Marianne" w:hAnsi="Marianne"/>
                <w:sz w:val="20"/>
                <w:szCs w:val="20"/>
              </w:rPr>
            </w:pPr>
            <w:r w:rsidRPr="00575E58">
              <w:rPr>
                <w:rFonts w:ascii="Marianne" w:hAnsi="Marianne"/>
                <w:sz w:val="20"/>
                <w:szCs w:val="20"/>
              </w:rPr>
              <w:t xml:space="preserve">                           </w:t>
            </w:r>
            <w:r w:rsidR="00575E58">
              <w:rPr>
                <w:rFonts w:ascii="Marianne" w:hAnsi="Marianne"/>
                <w:sz w:val="20"/>
                <w:szCs w:val="20"/>
              </w:rPr>
              <w:t xml:space="preserve">                 </w:t>
            </w:r>
            <w:r w:rsidR="00165227" w:rsidRPr="00575E58">
              <w:rPr>
                <w:rFonts w:ascii="Marianne" w:hAnsi="Marianne"/>
                <w:sz w:val="20"/>
                <w:szCs w:val="20"/>
              </w:rPr>
              <w:t>Paris, le</w:t>
            </w:r>
            <w:r w:rsidR="00AE63BD" w:rsidRPr="00575E58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15465A">
              <w:rPr>
                <w:rFonts w:ascii="Marianne" w:hAnsi="Marianne"/>
                <w:sz w:val="20"/>
                <w:szCs w:val="20"/>
              </w:rPr>
              <w:t>4</w:t>
            </w:r>
            <w:r w:rsidR="002A1ACC" w:rsidRPr="00575E58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15465A">
              <w:rPr>
                <w:rFonts w:ascii="Marianne" w:hAnsi="Marianne"/>
                <w:sz w:val="20"/>
                <w:szCs w:val="20"/>
              </w:rPr>
              <w:t>janvier 2021</w:t>
            </w:r>
          </w:p>
          <w:p w:rsidR="00575E58" w:rsidRPr="00575E58" w:rsidRDefault="00575E58" w:rsidP="00575E58">
            <w:pPr>
              <w:pStyle w:val="Corpsdetexte"/>
              <w:jc w:val="right"/>
              <w:rPr>
                <w:rFonts w:ascii="Marianne" w:hAnsi="Marianne"/>
                <w:szCs w:val="20"/>
              </w:rPr>
            </w:pPr>
            <w:r w:rsidRPr="00575E58">
              <w:rPr>
                <w:rFonts w:ascii="Marianne" w:hAnsi="Marianne"/>
                <w:szCs w:val="20"/>
              </w:rPr>
              <w:t>Réf : SDDE/D4</w:t>
            </w:r>
          </w:p>
          <w:p w:rsidR="00575E58" w:rsidRPr="00575E58" w:rsidRDefault="00575E58" w:rsidP="00575E58">
            <w:pPr>
              <w:pStyle w:val="Corpsdetexte"/>
              <w:jc w:val="right"/>
              <w:rPr>
                <w:rFonts w:ascii="Marianne" w:hAnsi="Marianne"/>
                <w:szCs w:val="20"/>
              </w:rPr>
            </w:pPr>
          </w:p>
          <w:p w:rsidR="00F10608" w:rsidRPr="00575E58" w:rsidRDefault="00F10608" w:rsidP="00B55B58">
            <w:pPr>
              <w:pStyle w:val="Corpsdetexte"/>
              <w:rPr>
                <w:rFonts w:ascii="Marianne" w:hAnsi="Marianne"/>
                <w:szCs w:val="20"/>
              </w:rPr>
            </w:pPr>
          </w:p>
        </w:tc>
      </w:tr>
    </w:tbl>
    <w:p w:rsidR="00165227" w:rsidRPr="00575E58" w:rsidRDefault="00165227" w:rsidP="00B55B58">
      <w:pPr>
        <w:pStyle w:val="Corpsdetexte"/>
        <w:rPr>
          <w:rFonts w:ascii="Marianne" w:hAnsi="Marianne"/>
          <w:szCs w:val="20"/>
        </w:rPr>
        <w:sectPr w:rsidR="00165227" w:rsidRPr="00575E58" w:rsidSect="00424B19">
          <w:headerReference w:type="even" r:id="rId7"/>
          <w:headerReference w:type="default" r:id="rId8"/>
          <w:footerReference w:type="even" r:id="rId9"/>
          <w:headerReference w:type="first" r:id="rId10"/>
          <w:type w:val="continuous"/>
          <w:pgSz w:w="11910" w:h="16840"/>
          <w:pgMar w:top="963" w:right="964" w:bottom="964" w:left="964" w:header="720" w:footer="720" w:gutter="0"/>
          <w:cols w:space="720"/>
          <w:titlePg/>
          <w:docGrid w:linePitch="299"/>
        </w:sectPr>
      </w:pPr>
    </w:p>
    <w:p w:rsidR="00165227" w:rsidRPr="00575E58" w:rsidRDefault="00165227" w:rsidP="00B55B58">
      <w:pPr>
        <w:pStyle w:val="Corpsdetexte"/>
        <w:rPr>
          <w:rFonts w:ascii="Marianne" w:hAnsi="Marianne"/>
          <w:szCs w:val="20"/>
        </w:rPr>
      </w:pPr>
    </w:p>
    <w:p w:rsidR="000827A6" w:rsidRPr="00575E58" w:rsidRDefault="002A1ACC" w:rsidP="002A1ACC">
      <w:pPr>
        <w:widowControl/>
        <w:tabs>
          <w:tab w:val="center" w:pos="4631"/>
          <w:tab w:val="left" w:pos="6952"/>
        </w:tabs>
        <w:autoSpaceDE/>
        <w:autoSpaceDN/>
        <w:spacing w:line="288" w:lineRule="auto"/>
        <w:ind w:left="-720"/>
        <w:jc w:val="center"/>
        <w:textAlignment w:val="center"/>
        <w:rPr>
          <w:rFonts w:ascii="Marianne" w:hAnsi="Marianne"/>
          <w:b/>
          <w:bCs/>
          <w:sz w:val="24"/>
          <w:szCs w:val="24"/>
          <w:lang w:val="fr-FR" w:eastAsia="fr-FR"/>
        </w:rPr>
      </w:pPr>
      <w:r w:rsidRPr="00575E58">
        <w:rPr>
          <w:rFonts w:ascii="Marianne" w:hAnsi="Marianne"/>
          <w:b/>
          <w:bCs/>
          <w:sz w:val="24"/>
          <w:szCs w:val="24"/>
          <w:lang w:val="fr-FR" w:eastAsia="fr-FR"/>
        </w:rPr>
        <w:t xml:space="preserve">ORIENTATIONS </w:t>
      </w:r>
      <w:r w:rsidR="0016389E" w:rsidRPr="00575E58">
        <w:rPr>
          <w:rFonts w:ascii="Marianne" w:hAnsi="Marianne"/>
          <w:b/>
          <w:bCs/>
          <w:sz w:val="24"/>
          <w:szCs w:val="24"/>
          <w:lang w:val="fr-FR" w:eastAsia="fr-FR"/>
        </w:rPr>
        <w:t>PROPOSEES</w:t>
      </w:r>
      <w:r w:rsidRPr="00575E58">
        <w:rPr>
          <w:rFonts w:ascii="Marianne" w:hAnsi="Marianne"/>
          <w:b/>
          <w:bCs/>
          <w:sz w:val="24"/>
          <w:szCs w:val="24"/>
          <w:lang w:val="fr-FR" w:eastAsia="fr-FR"/>
        </w:rPr>
        <w:t xml:space="preserve"> POUR LA TRANSPOSITION D</w:t>
      </w:r>
      <w:r w:rsidR="000827A6" w:rsidRPr="00575E58">
        <w:rPr>
          <w:rFonts w:ascii="Marianne" w:hAnsi="Marianne"/>
          <w:b/>
          <w:bCs/>
          <w:sz w:val="24"/>
          <w:szCs w:val="24"/>
          <w:lang w:val="fr-FR" w:eastAsia="fr-FR"/>
        </w:rPr>
        <w:t xml:space="preserve">U TITRE II </w:t>
      </w:r>
    </w:p>
    <w:p w:rsidR="00F10608" w:rsidRPr="00575E58" w:rsidRDefault="000827A6" w:rsidP="002A1ACC">
      <w:pPr>
        <w:widowControl/>
        <w:tabs>
          <w:tab w:val="center" w:pos="4631"/>
          <w:tab w:val="left" w:pos="6952"/>
        </w:tabs>
        <w:autoSpaceDE/>
        <w:autoSpaceDN/>
        <w:spacing w:line="288" w:lineRule="auto"/>
        <w:ind w:left="-720"/>
        <w:jc w:val="center"/>
        <w:textAlignment w:val="center"/>
        <w:rPr>
          <w:rFonts w:ascii="Marianne" w:hAnsi="Marianne"/>
          <w:sz w:val="24"/>
          <w:szCs w:val="24"/>
          <w:lang w:val="fr-FR" w:eastAsia="fr-FR"/>
        </w:rPr>
      </w:pPr>
      <w:r w:rsidRPr="00575E58">
        <w:rPr>
          <w:rFonts w:ascii="Marianne" w:hAnsi="Marianne"/>
          <w:b/>
          <w:bCs/>
          <w:sz w:val="24"/>
          <w:szCs w:val="24"/>
          <w:lang w:val="fr-FR" w:eastAsia="fr-FR"/>
        </w:rPr>
        <w:t>D</w:t>
      </w:r>
      <w:r w:rsidR="002A1ACC" w:rsidRPr="00575E58">
        <w:rPr>
          <w:rFonts w:ascii="Marianne" w:hAnsi="Marianne"/>
          <w:b/>
          <w:bCs/>
          <w:sz w:val="24"/>
          <w:szCs w:val="24"/>
          <w:lang w:val="fr-FR" w:eastAsia="fr-FR"/>
        </w:rPr>
        <w:t>E LA DIRECTIVE «</w:t>
      </w:r>
      <w:r w:rsidR="002A1ACC" w:rsidRPr="00575E58">
        <w:rPr>
          <w:rFonts w:ascii="Calibri" w:hAnsi="Calibri" w:cs="Calibri"/>
          <w:b/>
          <w:bCs/>
          <w:sz w:val="24"/>
          <w:szCs w:val="24"/>
          <w:lang w:val="fr-FR" w:eastAsia="fr-FR"/>
        </w:rPr>
        <w:t> </w:t>
      </w:r>
      <w:r w:rsidR="002A1ACC" w:rsidRPr="00575E58">
        <w:rPr>
          <w:rFonts w:ascii="Marianne" w:hAnsi="Marianne"/>
          <w:b/>
          <w:bCs/>
          <w:sz w:val="24"/>
          <w:szCs w:val="24"/>
          <w:lang w:val="fr-FR" w:eastAsia="fr-FR"/>
        </w:rPr>
        <w:t>RESTRUCTURATION ET INSOLVABILITE</w:t>
      </w:r>
      <w:r w:rsidR="002A1ACC" w:rsidRPr="00575E58">
        <w:rPr>
          <w:rFonts w:ascii="Calibri" w:hAnsi="Calibri" w:cs="Calibri"/>
          <w:b/>
          <w:bCs/>
          <w:sz w:val="24"/>
          <w:szCs w:val="24"/>
          <w:lang w:val="fr-FR" w:eastAsia="fr-FR"/>
        </w:rPr>
        <w:t> </w:t>
      </w:r>
      <w:r w:rsidR="002A1ACC" w:rsidRPr="00575E58">
        <w:rPr>
          <w:rFonts w:ascii="Marianne" w:hAnsi="Marianne" w:cs="Marianne"/>
          <w:b/>
          <w:bCs/>
          <w:sz w:val="24"/>
          <w:szCs w:val="24"/>
          <w:lang w:val="fr-FR" w:eastAsia="fr-FR"/>
        </w:rPr>
        <w:t>»</w:t>
      </w:r>
    </w:p>
    <w:p w:rsidR="00F10608" w:rsidRPr="00575E58" w:rsidRDefault="00F10608" w:rsidP="00C01C7B">
      <w:pPr>
        <w:widowControl/>
        <w:autoSpaceDE/>
        <w:autoSpaceDN/>
        <w:spacing w:line="288" w:lineRule="auto"/>
        <w:ind w:left="-720"/>
        <w:jc w:val="both"/>
        <w:textAlignment w:val="center"/>
        <w:rPr>
          <w:rFonts w:ascii="Marianne" w:hAnsi="Marianne"/>
          <w:sz w:val="20"/>
          <w:szCs w:val="20"/>
          <w:lang w:val="fr-FR" w:eastAsia="fr-FR"/>
        </w:rPr>
      </w:pPr>
    </w:p>
    <w:p w:rsidR="005B57C0" w:rsidRPr="00575E58" w:rsidRDefault="002A1ACC" w:rsidP="00C01C7B">
      <w:pPr>
        <w:jc w:val="both"/>
        <w:rPr>
          <w:rFonts w:ascii="Marianne" w:hAnsi="Marianne" w:cs="Times New Roman"/>
          <w:sz w:val="20"/>
          <w:szCs w:val="20"/>
          <w:lang w:val="fr-FR" w:eastAsia="fr-FR"/>
        </w:rPr>
      </w:pPr>
      <w:r w:rsidRPr="00575E58">
        <w:rPr>
          <w:rFonts w:ascii="Marianne" w:hAnsi="Marianne" w:cs="Times New Roman"/>
          <w:sz w:val="20"/>
          <w:szCs w:val="20"/>
          <w:lang w:val="fr-FR" w:eastAsia="fr-FR"/>
        </w:rPr>
        <w:t xml:space="preserve">Les orientations suivantes sont soumises à la consultation afin que le plus grand nombre d’acteurs </w:t>
      </w:r>
      <w:r w:rsidR="000827A6" w:rsidRPr="00575E58">
        <w:rPr>
          <w:rFonts w:ascii="Marianne" w:hAnsi="Marianne" w:cs="Times New Roman"/>
          <w:sz w:val="20"/>
          <w:szCs w:val="20"/>
          <w:lang w:val="fr-FR" w:eastAsia="fr-FR"/>
        </w:rPr>
        <w:t>puissent se prononcer</w:t>
      </w:r>
      <w:r w:rsidRPr="00575E58">
        <w:rPr>
          <w:rFonts w:ascii="Marianne" w:hAnsi="Marianne" w:cs="Times New Roman"/>
          <w:sz w:val="20"/>
          <w:szCs w:val="20"/>
          <w:lang w:val="fr-FR" w:eastAsia="fr-FR"/>
        </w:rPr>
        <w:t xml:space="preserve"> sur la transposition </w:t>
      </w:r>
      <w:r w:rsidR="000827A6" w:rsidRPr="00575E58">
        <w:rPr>
          <w:rFonts w:ascii="Marianne" w:hAnsi="Marianne" w:cs="Times New Roman"/>
          <w:sz w:val="20"/>
          <w:szCs w:val="20"/>
          <w:lang w:val="fr-FR" w:eastAsia="fr-FR"/>
        </w:rPr>
        <w:t xml:space="preserve">du titre II </w:t>
      </w:r>
      <w:r w:rsidRPr="00575E58">
        <w:rPr>
          <w:rFonts w:ascii="Marianne" w:hAnsi="Marianne" w:cs="Times New Roman"/>
          <w:sz w:val="20"/>
          <w:szCs w:val="20"/>
          <w:lang w:val="fr-FR" w:eastAsia="fr-FR"/>
        </w:rPr>
        <w:t>de la directive «</w:t>
      </w:r>
      <w:r w:rsidRPr="00575E58">
        <w:rPr>
          <w:rFonts w:ascii="Calibri" w:hAnsi="Calibri" w:cs="Calibri"/>
          <w:sz w:val="20"/>
          <w:szCs w:val="20"/>
          <w:lang w:val="fr-FR" w:eastAsia="fr-FR"/>
        </w:rPr>
        <w:t> </w:t>
      </w:r>
      <w:r w:rsidRPr="00575E58">
        <w:rPr>
          <w:rFonts w:ascii="Marianne" w:hAnsi="Marianne" w:cs="Times New Roman"/>
          <w:sz w:val="20"/>
          <w:szCs w:val="20"/>
          <w:lang w:val="fr-FR" w:eastAsia="fr-FR"/>
        </w:rPr>
        <w:t>restructuration et insolvabilité</w:t>
      </w:r>
      <w:r w:rsidRPr="00575E58">
        <w:rPr>
          <w:rFonts w:ascii="Calibri" w:hAnsi="Calibri" w:cs="Calibri"/>
          <w:sz w:val="20"/>
          <w:szCs w:val="20"/>
          <w:lang w:val="fr-FR" w:eastAsia="fr-FR"/>
        </w:rPr>
        <w:t> </w:t>
      </w:r>
      <w:r w:rsidRPr="00575E58">
        <w:rPr>
          <w:rFonts w:ascii="Marianne" w:hAnsi="Marianne" w:cs="Marianne"/>
          <w:sz w:val="20"/>
          <w:szCs w:val="20"/>
          <w:lang w:val="fr-FR" w:eastAsia="fr-FR"/>
        </w:rPr>
        <w:t>»</w:t>
      </w:r>
      <w:r w:rsidRPr="00575E58">
        <w:rPr>
          <w:rFonts w:ascii="Calibri" w:hAnsi="Calibri" w:cs="Calibri"/>
          <w:sz w:val="20"/>
          <w:szCs w:val="20"/>
          <w:lang w:val="fr-FR" w:eastAsia="fr-FR"/>
        </w:rPr>
        <w:t> </w:t>
      </w:r>
      <w:r w:rsidRPr="00575E58">
        <w:rPr>
          <w:rFonts w:ascii="Marianne" w:hAnsi="Marianne" w:cs="Times New Roman"/>
          <w:sz w:val="20"/>
          <w:szCs w:val="20"/>
          <w:lang w:val="fr-FR" w:eastAsia="fr-FR"/>
        </w:rPr>
        <w:t>:</w:t>
      </w:r>
    </w:p>
    <w:p w:rsidR="005B57C0" w:rsidRPr="00575E58" w:rsidRDefault="005B57C0" w:rsidP="00C01C7B">
      <w:pPr>
        <w:jc w:val="both"/>
        <w:rPr>
          <w:rFonts w:ascii="Marianne" w:hAnsi="Marianne" w:cs="Times New Roman"/>
          <w:sz w:val="20"/>
          <w:szCs w:val="20"/>
          <w:lang w:val="fr-FR" w:eastAsia="fr-FR"/>
        </w:rPr>
      </w:pPr>
    </w:p>
    <w:p w:rsidR="002A1ACC" w:rsidRPr="00575E58" w:rsidRDefault="002A1ACC" w:rsidP="00C01C7B">
      <w:p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/>
          <w:bCs/>
          <w:sz w:val="20"/>
          <w:szCs w:val="20"/>
          <w:lang w:val="fr-FR"/>
        </w:rPr>
        <w:t>1°) Transposition du titre II de la directive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="00195BC0" w:rsidRPr="00575E58">
        <w:rPr>
          <w:rFonts w:ascii="Marianne" w:hAnsi="Marianne"/>
          <w:b/>
          <w:bCs/>
          <w:sz w:val="20"/>
          <w:szCs w:val="20"/>
          <w:lang w:val="fr-FR"/>
        </w:rPr>
        <w:t>: i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>l est proposé d’opérer la transposition dans un socle composé d’une section nouvelle «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>des classes de créanciers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575E58">
        <w:rPr>
          <w:rFonts w:ascii="Marianne" w:hAnsi="Marianne" w:cs="Marianne"/>
          <w:b/>
          <w:bCs/>
          <w:sz w:val="20"/>
          <w:szCs w:val="20"/>
          <w:lang w:val="fr-FR"/>
        </w:rPr>
        <w:t>»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 xml:space="preserve"> et d’une refonte du chapitre «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>De la sauvegarde accélérée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575E58">
        <w:rPr>
          <w:rFonts w:ascii="Marianne" w:hAnsi="Marianne" w:cs="Marianne"/>
          <w:b/>
          <w:bCs/>
          <w:sz w:val="20"/>
          <w:szCs w:val="20"/>
          <w:lang w:val="fr-FR"/>
        </w:rPr>
        <w:t>»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, correspondant dans le livre VI à </w:t>
      </w:r>
      <w:r w:rsidRPr="00575E58">
        <w:rPr>
          <w:rFonts w:ascii="Marianne" w:hAnsi="Marianne"/>
          <w:sz w:val="20"/>
          <w:szCs w:val="20"/>
          <w:lang w:val="fr-FR"/>
        </w:rPr>
        <w:t>:</w:t>
      </w:r>
    </w:p>
    <w:p w:rsidR="002A1ACC" w:rsidRPr="00575E58" w:rsidRDefault="002A1ACC" w:rsidP="00C01C7B">
      <w:pPr>
        <w:jc w:val="both"/>
        <w:rPr>
          <w:rFonts w:ascii="Marianne" w:hAnsi="Marianne"/>
          <w:sz w:val="20"/>
          <w:szCs w:val="20"/>
          <w:lang w:val="fr-FR"/>
        </w:rPr>
      </w:pPr>
    </w:p>
    <w:p w:rsidR="002A1ACC" w:rsidRPr="00575E58" w:rsidRDefault="002A1ACC" w:rsidP="00C01C7B">
      <w:pPr>
        <w:pStyle w:val="Paragraphedeliste"/>
        <w:numPr>
          <w:ilvl w:val="0"/>
          <w:numId w:val="6"/>
        </w:num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sz w:val="20"/>
          <w:szCs w:val="20"/>
          <w:lang w:val="fr-FR"/>
        </w:rPr>
        <w:t>la section III du chapitre VI du titre II du livre VI, «</w:t>
      </w:r>
      <w:r w:rsidRPr="00575E58">
        <w:rPr>
          <w:rFonts w:ascii="Calibri" w:hAnsi="Calibri" w:cs="Calibri"/>
          <w:sz w:val="20"/>
          <w:szCs w:val="20"/>
          <w:lang w:val="fr-FR"/>
        </w:rPr>
        <w:t> </w:t>
      </w:r>
      <w:r w:rsidRPr="00575E58">
        <w:rPr>
          <w:rFonts w:ascii="Marianne" w:hAnsi="Marianne"/>
          <w:sz w:val="20"/>
          <w:szCs w:val="20"/>
          <w:lang w:val="fr-FR"/>
        </w:rPr>
        <w:t>des comités de créanciers</w:t>
      </w:r>
      <w:r w:rsidRPr="00575E58">
        <w:rPr>
          <w:rFonts w:ascii="Calibri" w:hAnsi="Calibri" w:cs="Calibri"/>
          <w:sz w:val="20"/>
          <w:szCs w:val="20"/>
          <w:lang w:val="fr-FR"/>
        </w:rPr>
        <w:t> </w:t>
      </w:r>
      <w:r w:rsidRPr="00575E58">
        <w:rPr>
          <w:rFonts w:ascii="Marianne" w:hAnsi="Marianne" w:cs="Marianne"/>
          <w:sz w:val="20"/>
          <w:szCs w:val="20"/>
          <w:lang w:val="fr-FR"/>
        </w:rPr>
        <w:t>»</w:t>
      </w:r>
      <w:r w:rsidRPr="00575E58">
        <w:rPr>
          <w:rFonts w:ascii="Marianne" w:hAnsi="Marianne"/>
          <w:sz w:val="20"/>
          <w:szCs w:val="20"/>
          <w:lang w:val="fr-FR"/>
        </w:rPr>
        <w:t>, remplacé</w:t>
      </w:r>
      <w:r w:rsidR="00CA449F" w:rsidRPr="00575E58">
        <w:rPr>
          <w:rFonts w:ascii="Marianne" w:hAnsi="Marianne"/>
          <w:sz w:val="20"/>
          <w:szCs w:val="20"/>
          <w:lang w:val="fr-FR"/>
        </w:rPr>
        <w:t>e</w:t>
      </w:r>
      <w:r w:rsidRPr="00575E58">
        <w:rPr>
          <w:rFonts w:ascii="Marianne" w:hAnsi="Marianne"/>
          <w:sz w:val="20"/>
          <w:szCs w:val="20"/>
          <w:lang w:val="fr-FR"/>
        </w:rPr>
        <w:t xml:space="preserve"> par une section «</w:t>
      </w:r>
      <w:r w:rsidRPr="00575E58">
        <w:rPr>
          <w:rFonts w:ascii="Calibri" w:hAnsi="Calibri" w:cs="Calibri"/>
          <w:sz w:val="20"/>
          <w:szCs w:val="20"/>
          <w:lang w:val="fr-FR"/>
        </w:rPr>
        <w:t> </w:t>
      </w:r>
      <w:r w:rsidRPr="00575E58">
        <w:rPr>
          <w:rFonts w:ascii="Marianne" w:hAnsi="Marianne"/>
          <w:sz w:val="20"/>
          <w:szCs w:val="20"/>
          <w:lang w:val="fr-FR"/>
        </w:rPr>
        <w:t>des classes de créanciers</w:t>
      </w:r>
      <w:r w:rsidRPr="00575E58">
        <w:rPr>
          <w:rFonts w:ascii="Calibri" w:hAnsi="Calibri" w:cs="Calibri"/>
          <w:sz w:val="20"/>
          <w:szCs w:val="20"/>
          <w:lang w:val="fr-FR"/>
        </w:rPr>
        <w:t> </w:t>
      </w:r>
      <w:r w:rsidRPr="00575E58">
        <w:rPr>
          <w:rFonts w:ascii="Marianne" w:hAnsi="Marianne" w:cs="Marianne"/>
          <w:sz w:val="20"/>
          <w:szCs w:val="20"/>
          <w:lang w:val="fr-FR"/>
        </w:rPr>
        <w:t>»</w:t>
      </w:r>
      <w:r w:rsidRPr="00575E58">
        <w:rPr>
          <w:rFonts w:ascii="Calibri" w:hAnsi="Calibri" w:cs="Calibri"/>
          <w:sz w:val="20"/>
          <w:szCs w:val="20"/>
          <w:lang w:val="fr-FR"/>
        </w:rPr>
        <w:t> </w:t>
      </w:r>
      <w:r w:rsidRPr="00575E58">
        <w:rPr>
          <w:rFonts w:ascii="Marianne" w:hAnsi="Marianne"/>
          <w:sz w:val="20"/>
          <w:szCs w:val="20"/>
          <w:lang w:val="fr-FR"/>
        </w:rPr>
        <w:t>; et</w:t>
      </w:r>
    </w:p>
    <w:p w:rsidR="002A1ACC" w:rsidRPr="00575E58" w:rsidRDefault="002A1ACC" w:rsidP="00C01C7B">
      <w:pPr>
        <w:pStyle w:val="Paragraphedeliste"/>
        <w:numPr>
          <w:ilvl w:val="0"/>
          <w:numId w:val="6"/>
        </w:num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sz w:val="20"/>
          <w:szCs w:val="20"/>
          <w:lang w:val="fr-FR"/>
        </w:rPr>
        <w:t>au chapitre VIII du titre II du livre VI, «</w:t>
      </w:r>
      <w:r w:rsidRPr="00575E58">
        <w:rPr>
          <w:rFonts w:ascii="Calibri" w:hAnsi="Calibri" w:cs="Calibri"/>
          <w:sz w:val="20"/>
          <w:szCs w:val="20"/>
          <w:lang w:val="fr-FR"/>
        </w:rPr>
        <w:t> </w:t>
      </w:r>
      <w:r w:rsidRPr="00575E58">
        <w:rPr>
          <w:rFonts w:ascii="Marianne" w:hAnsi="Marianne"/>
          <w:sz w:val="20"/>
          <w:szCs w:val="20"/>
          <w:lang w:val="fr-FR"/>
        </w:rPr>
        <w:t>De la sauvegarde accélérée</w:t>
      </w:r>
      <w:r w:rsidRPr="00575E58">
        <w:rPr>
          <w:rFonts w:ascii="Calibri" w:hAnsi="Calibri" w:cs="Calibri"/>
          <w:sz w:val="20"/>
          <w:szCs w:val="20"/>
          <w:lang w:val="fr-FR"/>
        </w:rPr>
        <w:t> </w:t>
      </w:r>
      <w:r w:rsidRPr="00575E58">
        <w:rPr>
          <w:rFonts w:ascii="Marianne" w:hAnsi="Marianne" w:cs="Marianne"/>
          <w:sz w:val="20"/>
          <w:szCs w:val="20"/>
          <w:lang w:val="fr-FR"/>
        </w:rPr>
        <w:t>»</w:t>
      </w:r>
      <w:r w:rsidRPr="00575E58">
        <w:rPr>
          <w:rFonts w:ascii="Marianne" w:hAnsi="Marianne" w:cs="Calibri"/>
          <w:sz w:val="20"/>
          <w:szCs w:val="20"/>
          <w:lang w:val="fr-FR"/>
        </w:rPr>
        <w:t>, dispositif unique par la fusion des formes accélérées de la sauvegarde et désormais ouvert à toutes les entreprises, quelle que soit leur taille. La durée maximale de la procédure serait fixée à quatre mois</w:t>
      </w:r>
      <w:r w:rsidRPr="00575E58">
        <w:rPr>
          <w:rFonts w:ascii="Marianne" w:hAnsi="Marianne"/>
          <w:sz w:val="20"/>
          <w:szCs w:val="20"/>
          <w:lang w:val="fr-FR"/>
        </w:rPr>
        <w:t>.</w:t>
      </w:r>
    </w:p>
    <w:p w:rsidR="002A1ACC" w:rsidRPr="00575E58" w:rsidRDefault="002A1ACC" w:rsidP="002A1ACC">
      <w:pPr>
        <w:pStyle w:val="Paragraphedeliste"/>
        <w:ind w:left="502" w:firstLine="0"/>
        <w:jc w:val="both"/>
        <w:rPr>
          <w:rFonts w:ascii="Marianne" w:hAnsi="Marianne"/>
          <w:sz w:val="20"/>
          <w:szCs w:val="20"/>
          <w:lang w:val="fr-FR"/>
        </w:rPr>
      </w:pPr>
    </w:p>
    <w:p w:rsidR="00575E58" w:rsidRPr="00575E58" w:rsidRDefault="002A1ACC" w:rsidP="002A1ACC">
      <w:pPr>
        <w:jc w:val="both"/>
        <w:rPr>
          <w:rFonts w:ascii="Marianne" w:hAnsi="Marianne"/>
          <w:b/>
          <w:bCs/>
          <w:sz w:val="20"/>
          <w:szCs w:val="20"/>
          <w:lang w:val="fr-FR"/>
        </w:rPr>
      </w:pPr>
      <w:r w:rsidRPr="00575E58">
        <w:rPr>
          <w:rFonts w:ascii="Marianne" w:hAnsi="Marianne"/>
          <w:b/>
          <w:bCs/>
          <w:sz w:val="20"/>
          <w:szCs w:val="20"/>
          <w:lang w:val="fr-FR"/>
        </w:rPr>
        <w:t>2°) Maintien d’une procédure de conciliation obligatoire préalable à la nouvelle procédure de sauvegarde accélérée fusionnée</w:t>
      </w:r>
      <w:r w:rsidR="00575E58" w:rsidRPr="00575E58">
        <w:rPr>
          <w:rFonts w:ascii="Marianne" w:hAnsi="Marianne"/>
          <w:b/>
          <w:bCs/>
          <w:sz w:val="20"/>
          <w:szCs w:val="20"/>
          <w:lang w:val="fr-FR"/>
        </w:rPr>
        <w:t xml:space="preserve">. </w:t>
      </w:r>
    </w:p>
    <w:p w:rsidR="002A1ACC" w:rsidRPr="00575E58" w:rsidRDefault="00575E58" w:rsidP="00575E58">
      <w:pPr>
        <w:ind w:firstLine="720"/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Cs/>
          <w:sz w:val="20"/>
          <w:szCs w:val="20"/>
          <w:lang w:val="fr-FR"/>
        </w:rPr>
        <w:t>Une option alternative mérite d’être discutée</w:t>
      </w:r>
      <w:r w:rsidRPr="00575E58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575E58">
        <w:rPr>
          <w:rFonts w:ascii="Marianne" w:hAnsi="Marianne"/>
          <w:bCs/>
          <w:sz w:val="20"/>
          <w:szCs w:val="20"/>
          <w:lang w:val="fr-FR"/>
        </w:rPr>
        <w:t>: la</w:t>
      </w:r>
      <w:r w:rsidR="00C01C7B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dispense de </w:t>
      </w:r>
      <w:r w:rsidR="00195BC0" w:rsidRPr="00575E58">
        <w:rPr>
          <w:rFonts w:ascii="Marianne" w:hAnsi="Marianne" w:cs="Calibri"/>
          <w:bCs/>
          <w:sz w:val="20"/>
          <w:szCs w:val="20"/>
          <w:lang w:val="fr-FR"/>
        </w:rPr>
        <w:t>cette procédure préalable</w:t>
      </w:r>
      <w:r w:rsidR="00C01C7B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>avec</w:t>
      </w:r>
      <w:r w:rsidR="00C01C7B" w:rsidRPr="00575E58">
        <w:rPr>
          <w:rFonts w:ascii="Marianne" w:hAnsi="Marianne" w:cs="Calibri"/>
          <w:bCs/>
          <w:sz w:val="20"/>
          <w:szCs w:val="20"/>
          <w:lang w:val="fr-FR"/>
        </w:rPr>
        <w:t xml:space="preserve">, dans ce cas, la faculté pour le tribunal de renouveler </w:t>
      </w:r>
      <w:r w:rsidR="005C7591" w:rsidRPr="00575E58">
        <w:rPr>
          <w:rFonts w:ascii="Marianne" w:hAnsi="Marianne" w:cs="Calibri"/>
          <w:bCs/>
          <w:sz w:val="20"/>
          <w:szCs w:val="20"/>
          <w:lang w:val="fr-FR"/>
        </w:rPr>
        <w:t>une fois, pour la même durée, la période d’observation de 4 mois</w:t>
      </w:r>
      <w:r w:rsidR="002A1ACC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</w:t>
      </w:r>
      <w:r w:rsidR="00195BC0" w:rsidRPr="00575E58">
        <w:rPr>
          <w:rFonts w:ascii="Marianne" w:hAnsi="Marianne" w:cs="Calibri"/>
          <w:bCs/>
          <w:sz w:val="20"/>
          <w:szCs w:val="20"/>
          <w:lang w:val="fr-FR"/>
        </w:rPr>
        <w:t xml:space="preserve">maximum, </w:t>
      </w:r>
      <w:r w:rsidR="005C7591" w:rsidRPr="00575E58">
        <w:rPr>
          <w:rFonts w:ascii="Marianne" w:hAnsi="Marianne" w:cs="Calibri"/>
          <w:bCs/>
          <w:sz w:val="20"/>
          <w:szCs w:val="20"/>
          <w:lang w:val="fr-FR"/>
        </w:rPr>
        <w:t>ouverte en</w:t>
      </w:r>
      <w:r w:rsidR="005C7591" w:rsidRPr="00575E58">
        <w:rPr>
          <w:rFonts w:ascii="Marianne" w:hAnsi="Marianne"/>
          <w:sz w:val="20"/>
          <w:szCs w:val="20"/>
          <w:lang w:val="fr-FR"/>
        </w:rPr>
        <w:t xml:space="preserve"> sauvegarde accélérée</w:t>
      </w:r>
      <w:r w:rsidR="002A1ACC" w:rsidRPr="00575E58">
        <w:rPr>
          <w:rFonts w:ascii="Marianne" w:hAnsi="Marianne"/>
          <w:sz w:val="20"/>
          <w:szCs w:val="20"/>
          <w:lang w:val="fr-FR"/>
        </w:rPr>
        <w:t>.</w:t>
      </w:r>
    </w:p>
    <w:p w:rsidR="002A1ACC" w:rsidRPr="00575E58" w:rsidRDefault="002A1ACC" w:rsidP="002A1ACC">
      <w:pPr>
        <w:pStyle w:val="Paragraphedeliste"/>
        <w:ind w:left="502" w:firstLine="0"/>
        <w:jc w:val="both"/>
        <w:rPr>
          <w:rFonts w:ascii="Marianne" w:hAnsi="Marianne"/>
          <w:sz w:val="20"/>
          <w:szCs w:val="20"/>
          <w:lang w:val="fr-FR"/>
        </w:rPr>
      </w:pPr>
    </w:p>
    <w:p w:rsidR="002A1ACC" w:rsidRPr="00575E58" w:rsidRDefault="002A1ACC" w:rsidP="002A1ACC">
      <w:pPr>
        <w:jc w:val="both"/>
        <w:rPr>
          <w:rFonts w:ascii="Marianne" w:hAnsi="Marianne"/>
          <w:b/>
          <w:sz w:val="20"/>
          <w:szCs w:val="20"/>
          <w:lang w:val="fr-FR"/>
        </w:rPr>
      </w:pPr>
      <w:r w:rsidRPr="00575E58">
        <w:rPr>
          <w:rFonts w:ascii="Marianne" w:hAnsi="Marianne"/>
          <w:b/>
          <w:sz w:val="20"/>
          <w:szCs w:val="20"/>
          <w:lang w:val="fr-FR"/>
        </w:rPr>
        <w:t>3°) Détermination du champ d’application du système de classes de créanciers</w:t>
      </w:r>
    </w:p>
    <w:p w:rsidR="002A1ACC" w:rsidRPr="00575E58" w:rsidRDefault="002A1ACC" w:rsidP="002A1ACC">
      <w:pPr>
        <w:pStyle w:val="Paragraphedeliste"/>
        <w:rPr>
          <w:rFonts w:ascii="Marianne" w:hAnsi="Marianne"/>
          <w:b/>
          <w:sz w:val="20"/>
          <w:szCs w:val="20"/>
          <w:lang w:val="fr-FR"/>
        </w:rPr>
      </w:pPr>
    </w:p>
    <w:p w:rsidR="002A1ACC" w:rsidRPr="00575E58" w:rsidRDefault="002A1ACC" w:rsidP="002A1ACC">
      <w:p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/>
          <w:sz w:val="20"/>
          <w:szCs w:val="20"/>
          <w:lang w:val="fr-FR"/>
        </w:rPr>
        <w:t>-</w:t>
      </w:r>
      <w:r w:rsidRPr="00575E58">
        <w:rPr>
          <w:rFonts w:ascii="Calibri" w:hAnsi="Calibri" w:cs="Calibri"/>
          <w:b/>
          <w:sz w:val="20"/>
          <w:szCs w:val="20"/>
          <w:lang w:val="fr-FR"/>
        </w:rPr>
        <w:t> </w:t>
      </w:r>
      <w:r w:rsidRPr="00575E58">
        <w:rPr>
          <w:rFonts w:ascii="Marianne" w:hAnsi="Marianne"/>
          <w:b/>
          <w:sz w:val="20"/>
          <w:szCs w:val="20"/>
          <w:lang w:val="fr-FR"/>
        </w:rPr>
        <w:t>En cas d</w:t>
      </w:r>
      <w:r w:rsidRPr="00575E58">
        <w:rPr>
          <w:rFonts w:ascii="Marianne" w:hAnsi="Marianne" w:cs="Marianne"/>
          <w:b/>
          <w:sz w:val="20"/>
          <w:szCs w:val="20"/>
          <w:lang w:val="fr-FR"/>
        </w:rPr>
        <w:t>’</w:t>
      </w:r>
      <w:r w:rsidRPr="00575E58">
        <w:rPr>
          <w:rFonts w:ascii="Marianne" w:hAnsi="Marianne"/>
          <w:b/>
          <w:sz w:val="20"/>
          <w:szCs w:val="20"/>
          <w:lang w:val="fr-FR"/>
        </w:rPr>
        <w:t>ouverture d</w:t>
      </w:r>
      <w:r w:rsidRPr="00575E58">
        <w:rPr>
          <w:rFonts w:ascii="Marianne" w:hAnsi="Marianne" w:cs="Marianne"/>
          <w:b/>
          <w:sz w:val="20"/>
          <w:szCs w:val="20"/>
          <w:lang w:val="fr-FR"/>
        </w:rPr>
        <w:t>’</w:t>
      </w:r>
      <w:r w:rsidRPr="00575E58">
        <w:rPr>
          <w:rFonts w:ascii="Marianne" w:hAnsi="Marianne"/>
          <w:b/>
          <w:sz w:val="20"/>
          <w:szCs w:val="20"/>
          <w:lang w:val="fr-FR"/>
        </w:rPr>
        <w:t>une sauvegarde acc</w:t>
      </w:r>
      <w:r w:rsidRPr="00575E58">
        <w:rPr>
          <w:rFonts w:ascii="Marianne" w:hAnsi="Marianne" w:cs="Marianne"/>
          <w:b/>
          <w:sz w:val="20"/>
          <w:szCs w:val="20"/>
          <w:lang w:val="fr-FR"/>
        </w:rPr>
        <w:t>é</w:t>
      </w:r>
      <w:r w:rsidRPr="00575E58">
        <w:rPr>
          <w:rFonts w:ascii="Marianne" w:hAnsi="Marianne"/>
          <w:b/>
          <w:sz w:val="20"/>
          <w:szCs w:val="20"/>
          <w:lang w:val="fr-FR"/>
        </w:rPr>
        <w:t>l</w:t>
      </w:r>
      <w:r w:rsidRPr="00575E58">
        <w:rPr>
          <w:rFonts w:ascii="Marianne" w:hAnsi="Marianne" w:cs="Marianne"/>
          <w:b/>
          <w:sz w:val="20"/>
          <w:szCs w:val="20"/>
          <w:lang w:val="fr-FR"/>
        </w:rPr>
        <w:t>é</w:t>
      </w:r>
      <w:r w:rsidRPr="00575E58">
        <w:rPr>
          <w:rFonts w:ascii="Marianne" w:hAnsi="Marianne"/>
          <w:b/>
          <w:sz w:val="20"/>
          <w:szCs w:val="20"/>
          <w:lang w:val="fr-FR"/>
        </w:rPr>
        <w:t>r</w:t>
      </w:r>
      <w:r w:rsidRPr="00575E58">
        <w:rPr>
          <w:rFonts w:ascii="Marianne" w:hAnsi="Marianne" w:cs="Marianne"/>
          <w:b/>
          <w:sz w:val="20"/>
          <w:szCs w:val="20"/>
          <w:lang w:val="fr-FR"/>
        </w:rPr>
        <w:t>é</w:t>
      </w:r>
      <w:r w:rsidRPr="00575E58">
        <w:rPr>
          <w:rFonts w:ascii="Marianne" w:hAnsi="Marianne"/>
          <w:b/>
          <w:sz w:val="20"/>
          <w:szCs w:val="20"/>
          <w:lang w:val="fr-FR"/>
        </w:rPr>
        <w:t>e</w:t>
      </w:r>
      <w:r w:rsidRPr="00575E58">
        <w:rPr>
          <w:rFonts w:ascii="Marianne" w:hAnsi="Marianne"/>
          <w:sz w:val="20"/>
          <w:szCs w:val="20"/>
          <w:lang w:val="fr-FR"/>
        </w:rPr>
        <w:t>, il est proposé une constitution obligatoire des classes de créanciers pour toutes les entreprises quelle que soit leur taille.</w:t>
      </w:r>
    </w:p>
    <w:p w:rsidR="002A1ACC" w:rsidRPr="00575E58" w:rsidRDefault="002A1ACC" w:rsidP="002A1ACC">
      <w:pPr>
        <w:jc w:val="both"/>
        <w:rPr>
          <w:rFonts w:ascii="Marianne" w:hAnsi="Marianne"/>
          <w:sz w:val="20"/>
          <w:szCs w:val="20"/>
          <w:lang w:val="fr-FR"/>
        </w:rPr>
      </w:pPr>
    </w:p>
    <w:p w:rsidR="002A1ACC" w:rsidRPr="00575E58" w:rsidRDefault="002A1ACC" w:rsidP="002A1ACC">
      <w:p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/>
          <w:sz w:val="20"/>
          <w:szCs w:val="20"/>
          <w:lang w:val="fr-FR"/>
        </w:rPr>
        <w:t>-</w:t>
      </w:r>
      <w:r w:rsidRPr="00575E58">
        <w:rPr>
          <w:rFonts w:ascii="Calibri" w:hAnsi="Calibri" w:cs="Calibri"/>
          <w:b/>
          <w:sz w:val="20"/>
          <w:szCs w:val="20"/>
          <w:lang w:val="fr-FR"/>
        </w:rPr>
        <w:t> </w:t>
      </w:r>
      <w:r w:rsidRPr="00575E58">
        <w:rPr>
          <w:rFonts w:ascii="Marianne" w:hAnsi="Marianne"/>
          <w:b/>
          <w:sz w:val="20"/>
          <w:szCs w:val="20"/>
          <w:lang w:val="fr-FR"/>
        </w:rPr>
        <w:t>Pour la sauvegarde ou le redressement judiciaire</w:t>
      </w:r>
      <w:r w:rsidRPr="00575E58">
        <w:rPr>
          <w:rFonts w:ascii="Marianne" w:hAnsi="Marianne"/>
          <w:sz w:val="20"/>
          <w:szCs w:val="20"/>
          <w:lang w:val="fr-FR"/>
        </w:rPr>
        <w:t xml:space="preserve">, </w:t>
      </w:r>
      <w:r w:rsidR="005C7591" w:rsidRPr="00575E58">
        <w:rPr>
          <w:rFonts w:ascii="Marianne" w:hAnsi="Marianne"/>
          <w:sz w:val="20"/>
          <w:szCs w:val="20"/>
          <w:lang w:val="fr-FR"/>
        </w:rPr>
        <w:t>en présence d’une «</w:t>
      </w:r>
      <w:r w:rsidR="005C7591" w:rsidRPr="00575E58">
        <w:rPr>
          <w:rFonts w:ascii="Calibri" w:hAnsi="Calibri" w:cs="Calibri"/>
          <w:sz w:val="20"/>
          <w:szCs w:val="20"/>
          <w:lang w:val="fr-FR"/>
        </w:rPr>
        <w:t> </w:t>
      </w:r>
      <w:r w:rsidR="005C7591" w:rsidRPr="00575E58">
        <w:rPr>
          <w:rFonts w:ascii="Marianne" w:hAnsi="Marianne"/>
          <w:sz w:val="20"/>
          <w:szCs w:val="20"/>
          <w:lang w:val="fr-FR"/>
        </w:rPr>
        <w:t>Micro-PME</w:t>
      </w:r>
      <w:r w:rsidR="005C7591" w:rsidRPr="00575E58">
        <w:rPr>
          <w:rFonts w:ascii="Calibri" w:hAnsi="Calibri" w:cs="Calibri"/>
          <w:sz w:val="20"/>
          <w:szCs w:val="20"/>
          <w:lang w:val="fr-FR"/>
        </w:rPr>
        <w:t> </w:t>
      </w:r>
      <w:r w:rsidR="005C7591" w:rsidRPr="00575E58">
        <w:rPr>
          <w:rFonts w:ascii="Marianne" w:hAnsi="Marianne" w:cs="Marianne"/>
          <w:sz w:val="20"/>
          <w:szCs w:val="20"/>
          <w:lang w:val="fr-FR"/>
        </w:rPr>
        <w:t>»</w:t>
      </w:r>
      <w:r w:rsidR="005C7591" w:rsidRPr="00575E58">
        <w:rPr>
          <w:rFonts w:ascii="Marianne" w:hAnsi="Marianne"/>
          <w:sz w:val="20"/>
          <w:szCs w:val="20"/>
          <w:lang w:val="fr-FR"/>
        </w:rPr>
        <w:t>, en dessous d’un seuil à définir, la constitution de classes de créanciers serait facultative, sur option du débiteur.</w:t>
      </w:r>
      <w:r w:rsidR="00195BC0" w:rsidRPr="00575E58">
        <w:rPr>
          <w:rFonts w:ascii="Marianne" w:hAnsi="Marianne"/>
          <w:sz w:val="20"/>
          <w:szCs w:val="20"/>
          <w:lang w:val="fr-FR"/>
        </w:rPr>
        <w:t xml:space="preserve"> En l’absence d’option, les procédures de droit commun de la sauvegarde (non accélérée) et du redressement judiciaire, s’appliqueraient.</w:t>
      </w:r>
    </w:p>
    <w:p w:rsidR="002A1ACC" w:rsidRPr="00575E58" w:rsidRDefault="002A1ACC" w:rsidP="002A1ACC">
      <w:pPr>
        <w:pStyle w:val="Paragraphedeliste"/>
        <w:rPr>
          <w:rFonts w:ascii="Marianne" w:hAnsi="Marianne"/>
          <w:sz w:val="20"/>
          <w:szCs w:val="20"/>
          <w:lang w:val="fr-FR"/>
        </w:rPr>
      </w:pPr>
    </w:p>
    <w:p w:rsidR="002A1ACC" w:rsidRDefault="002A1ACC" w:rsidP="002A1ACC">
      <w:pPr>
        <w:jc w:val="both"/>
        <w:rPr>
          <w:rFonts w:ascii="Marianne" w:hAnsi="Marianne" w:cs="Calibri"/>
          <w:bCs/>
          <w:sz w:val="20"/>
          <w:szCs w:val="20"/>
          <w:lang w:val="fr-FR"/>
        </w:rPr>
      </w:pP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>4°) Définition des «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="00195BC0" w:rsidRPr="00575E58">
        <w:rPr>
          <w:rFonts w:ascii="Marianne" w:hAnsi="Marianne" w:cs="Calibri"/>
          <w:b/>
          <w:bCs/>
          <w:sz w:val="20"/>
          <w:szCs w:val="20"/>
          <w:lang w:val="fr-FR"/>
        </w:rPr>
        <w:t>Micro-</w:t>
      </w: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>PME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575E58">
        <w:rPr>
          <w:rFonts w:ascii="Marianne" w:hAnsi="Marianne" w:cs="Marianne"/>
          <w:b/>
          <w:bCs/>
          <w:sz w:val="20"/>
          <w:szCs w:val="20"/>
          <w:lang w:val="fr-FR"/>
        </w:rPr>
        <w:t>»</w:t>
      </w: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 xml:space="preserve"> : </w:t>
      </w:r>
      <w:r w:rsidR="005C7591" w:rsidRPr="00575E58">
        <w:rPr>
          <w:rFonts w:ascii="Marianne" w:hAnsi="Marianne" w:cs="Calibri"/>
          <w:bCs/>
          <w:sz w:val="20"/>
          <w:szCs w:val="20"/>
          <w:lang w:val="fr-FR"/>
        </w:rPr>
        <w:t>Un seuil bilanciel consolidé (pour prendre en compte la situation des groupes de sociétés), unique, est proposé. Ce seuil pourrait être fixé à 4 M €. De manière alternative, il est proposé de retenir les seuils cumulatifs suivants, correspondant aux</w:t>
      </w:r>
      <w:r w:rsidR="005C7591" w:rsidRPr="00575E58">
        <w:rPr>
          <w:rFonts w:ascii="Marianne" w:hAnsi="Marianne" w:cs="Calibri"/>
          <w:b/>
          <w:bCs/>
          <w:sz w:val="20"/>
          <w:szCs w:val="20"/>
          <w:lang w:val="fr-FR"/>
        </w:rPr>
        <w:t xml:space="preserve"> 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>seuils de désignation obligatoire d’un commissaire aux comptes, légèrement adaptés pour exiger qu’en toutes hypothèses le critère bilanciel s’applique</w:t>
      </w:r>
      <w:r w:rsidRPr="00575E58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>:</w:t>
      </w:r>
    </w:p>
    <w:p w:rsidR="00424B19" w:rsidRPr="00575E58" w:rsidRDefault="00424B19" w:rsidP="002A1ACC">
      <w:pPr>
        <w:jc w:val="both"/>
        <w:rPr>
          <w:rFonts w:ascii="Marianne" w:hAnsi="Marianne" w:cs="Calibri"/>
          <w:b/>
          <w:bCs/>
          <w:sz w:val="20"/>
          <w:szCs w:val="20"/>
          <w:lang w:val="fr-FR"/>
        </w:rPr>
      </w:pPr>
    </w:p>
    <w:p w:rsidR="002A1ACC" w:rsidRPr="00575E58" w:rsidRDefault="002A1ACC" w:rsidP="002A1ACC">
      <w:pPr>
        <w:pStyle w:val="Paragraphedeliste"/>
        <w:numPr>
          <w:ilvl w:val="1"/>
          <w:numId w:val="5"/>
        </w:num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sz w:val="20"/>
          <w:szCs w:val="20"/>
          <w:lang w:val="fr-FR"/>
        </w:rPr>
        <w:t>4 M € de total du bilan, et</w:t>
      </w:r>
    </w:p>
    <w:p w:rsidR="002A1ACC" w:rsidRDefault="002A1ACC" w:rsidP="00195BC0">
      <w:pPr>
        <w:pStyle w:val="Paragraphedeliste"/>
        <w:numPr>
          <w:ilvl w:val="1"/>
          <w:numId w:val="5"/>
        </w:num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sz w:val="20"/>
          <w:szCs w:val="20"/>
          <w:lang w:val="fr-FR"/>
        </w:rPr>
        <w:t xml:space="preserve">8 M € </w:t>
      </w:r>
      <w:r w:rsidR="00195BC0" w:rsidRPr="00575E58">
        <w:rPr>
          <w:rFonts w:ascii="Marianne" w:hAnsi="Marianne"/>
          <w:sz w:val="20"/>
          <w:szCs w:val="20"/>
          <w:lang w:val="fr-FR"/>
        </w:rPr>
        <w:t>de chiffre d’affaires hors taxe</w:t>
      </w:r>
      <w:r w:rsidRPr="00575E58">
        <w:rPr>
          <w:rFonts w:ascii="Marianne" w:hAnsi="Marianne"/>
          <w:sz w:val="20"/>
          <w:szCs w:val="20"/>
          <w:lang w:val="fr-FR"/>
        </w:rPr>
        <w:t xml:space="preserve"> ou</w:t>
      </w:r>
      <w:r w:rsidR="00195BC0" w:rsidRPr="00575E58">
        <w:rPr>
          <w:rFonts w:ascii="Marianne" w:hAnsi="Marianne"/>
          <w:sz w:val="20"/>
          <w:szCs w:val="20"/>
          <w:lang w:val="fr-FR"/>
        </w:rPr>
        <w:t xml:space="preserve"> </w:t>
      </w:r>
      <w:r w:rsidRPr="00575E58">
        <w:rPr>
          <w:rFonts w:ascii="Marianne" w:hAnsi="Marianne"/>
          <w:sz w:val="20"/>
          <w:szCs w:val="20"/>
          <w:lang w:val="fr-FR"/>
        </w:rPr>
        <w:t>50 salariés</w:t>
      </w:r>
    </w:p>
    <w:p w:rsidR="00424B19" w:rsidRPr="00575E58" w:rsidRDefault="00424B19" w:rsidP="00E718D7">
      <w:pPr>
        <w:pStyle w:val="Paragraphedeliste"/>
        <w:ind w:left="1222" w:firstLine="0"/>
        <w:jc w:val="both"/>
        <w:rPr>
          <w:rFonts w:ascii="Marianne" w:hAnsi="Marianne"/>
          <w:sz w:val="20"/>
          <w:szCs w:val="20"/>
          <w:lang w:val="fr-FR"/>
        </w:rPr>
      </w:pPr>
    </w:p>
    <w:p w:rsidR="005C7591" w:rsidRDefault="0016389E" w:rsidP="00B802CE">
      <w:pPr>
        <w:pStyle w:val="Paragraphedeliste"/>
        <w:ind w:left="0" w:firstLine="0"/>
        <w:jc w:val="both"/>
        <w:rPr>
          <w:rFonts w:ascii="Marianne" w:hAnsi="Marianne" w:cs="Calibri"/>
          <w:bCs/>
          <w:sz w:val="20"/>
          <w:szCs w:val="20"/>
          <w:lang w:val="fr-FR"/>
        </w:rPr>
      </w:pPr>
      <w:r w:rsidRPr="00575E58">
        <w:rPr>
          <w:rFonts w:ascii="Marianne" w:hAnsi="Marianne" w:cs="Calibri"/>
          <w:bCs/>
          <w:sz w:val="20"/>
          <w:szCs w:val="20"/>
          <w:lang w:val="fr-FR"/>
        </w:rPr>
        <w:t>Les</w:t>
      </w:r>
      <w:r w:rsidR="005C7591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participants à la consultation sont plus particulièrement invités à se prononcer 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>sur</w:t>
      </w:r>
      <w:r w:rsidR="005C7591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ces deux propositions (seuil unique ou non et niveau de seuil proposé) </w:t>
      </w:r>
      <w:r w:rsidR="005C7591" w:rsidRPr="00575E58">
        <w:rPr>
          <w:rFonts w:ascii="Marianne" w:hAnsi="Marianne" w:cs="Calibri"/>
          <w:bCs/>
          <w:sz w:val="20"/>
          <w:szCs w:val="20"/>
          <w:lang w:val="fr-FR"/>
        </w:rPr>
        <w:t>en accompagnant leur réponse de toutes illustrations utiles (données chiffrées, statistiques par exemple).</w:t>
      </w:r>
    </w:p>
    <w:p w:rsidR="00B802CE" w:rsidRPr="00575E58" w:rsidRDefault="00B802CE" w:rsidP="00B802CE">
      <w:pPr>
        <w:pStyle w:val="Paragraphedeliste"/>
        <w:ind w:left="0" w:firstLine="0"/>
        <w:jc w:val="both"/>
        <w:rPr>
          <w:rFonts w:ascii="Marianne" w:hAnsi="Marianne" w:cs="Calibri"/>
          <w:bCs/>
          <w:sz w:val="20"/>
          <w:szCs w:val="20"/>
          <w:lang w:val="fr-FR"/>
        </w:rPr>
      </w:pPr>
    </w:p>
    <w:p w:rsidR="002A1ACC" w:rsidRPr="00575E58" w:rsidRDefault="002A1ACC" w:rsidP="002A1ACC">
      <w:p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lastRenderedPageBreak/>
        <w:t>5°) Modalités de constitution des classes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 xml:space="preserve">: </w:t>
      </w:r>
      <w:r w:rsidR="00F22F2D" w:rsidRPr="00575E58">
        <w:rPr>
          <w:rFonts w:ascii="Marianne" w:hAnsi="Marianne" w:cs="Calibri"/>
          <w:bCs/>
          <w:sz w:val="20"/>
          <w:szCs w:val="20"/>
          <w:lang w:val="fr-FR"/>
        </w:rPr>
        <w:t>Il est proposé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 une constitution souple des classes, s’appuyant sur l’expertise et le travail préparatoire des professionnels. </w:t>
      </w:r>
      <w:r w:rsidRPr="00575E58">
        <w:rPr>
          <w:rFonts w:ascii="Marianne" w:hAnsi="Marianne" w:cs="Calibri"/>
          <w:bCs/>
          <w:i/>
          <w:sz w:val="20"/>
          <w:szCs w:val="20"/>
          <w:lang w:val="fr-FR"/>
        </w:rPr>
        <w:t>A minima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>, il y aurait systématiquement deux classes de créanciers (nantis de sûretés ou non). La constitution d’une classe de créanciers publics serait facultative. Il est proposé qu’il ne puisse pas</w:t>
      </w:r>
      <w:r w:rsidR="00575E58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être constitué de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 classe de salariés. Une classe détenteurs de capital serait constituée en sauvegarde</w:t>
      </w:r>
      <w:r w:rsidR="00FB6C45" w:rsidRPr="00575E58">
        <w:rPr>
          <w:rFonts w:ascii="Marianne" w:hAnsi="Marianne" w:cs="Calibri"/>
          <w:bCs/>
          <w:sz w:val="20"/>
          <w:szCs w:val="20"/>
          <w:lang w:val="fr-FR"/>
        </w:rPr>
        <w:t>s (accélérée et non accélérée)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 et en redressement judiciaire, si les détenteurs de capital </w:t>
      </w:r>
      <w:r w:rsidR="00195BC0" w:rsidRPr="00575E58">
        <w:rPr>
          <w:rFonts w:ascii="Marianne" w:hAnsi="Marianne" w:cs="Calibri"/>
          <w:bCs/>
          <w:sz w:val="20"/>
          <w:szCs w:val="20"/>
          <w:lang w:val="fr-FR"/>
        </w:rPr>
        <w:t>s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>ont potentiellement affectés par le projet de plan.</w:t>
      </w:r>
    </w:p>
    <w:p w:rsidR="002A1ACC" w:rsidRPr="00575E58" w:rsidRDefault="002A1ACC" w:rsidP="002A1ACC">
      <w:pPr>
        <w:pStyle w:val="Paragraphedeliste"/>
        <w:ind w:left="502" w:firstLine="0"/>
        <w:jc w:val="both"/>
        <w:rPr>
          <w:rFonts w:ascii="Marianne" w:hAnsi="Marianne"/>
          <w:sz w:val="20"/>
          <w:szCs w:val="20"/>
          <w:lang w:val="fr-FR"/>
        </w:rPr>
      </w:pPr>
    </w:p>
    <w:p w:rsidR="002A1ACC" w:rsidRPr="00575E58" w:rsidRDefault="002A1ACC" w:rsidP="002A1ACC">
      <w:p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>6°) Conditions de mise en œuvre de l’application forcée interclasses</w:t>
      </w:r>
      <w:r w:rsidRPr="00575E58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>: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 Il est proposé de </w:t>
      </w:r>
      <w:r w:rsidR="00575E58" w:rsidRPr="00575E58">
        <w:rPr>
          <w:rFonts w:ascii="Marianne" w:hAnsi="Marianne" w:cs="Calibri"/>
          <w:bCs/>
          <w:sz w:val="20"/>
          <w:szCs w:val="20"/>
          <w:lang w:val="fr-FR"/>
        </w:rPr>
        <w:t>permettre au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 débiteur</w:t>
      </w:r>
      <w:r w:rsidR="00575E58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de s’y opposer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, tant en sauvegarde qu’en redressement judiciaire. </w:t>
      </w:r>
      <w:r w:rsidR="00575E58" w:rsidRPr="00575E58">
        <w:rPr>
          <w:rFonts w:ascii="Marianne" w:hAnsi="Marianne" w:cs="Calibri"/>
          <w:bCs/>
          <w:sz w:val="20"/>
          <w:szCs w:val="20"/>
          <w:lang w:val="fr-FR"/>
        </w:rPr>
        <w:t>L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>a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 xml:space="preserve"> directive 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 xml:space="preserve">permet de supprimer cette exigence d’un accord du débiteur, 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>en présence de grandes entreprises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 xml:space="preserve"> (avant dernier alinéa de l’article 11 para. 1</w:t>
      </w:r>
      <w:r w:rsidR="00195BC0" w:rsidRPr="00575E58">
        <w:rPr>
          <w:rFonts w:ascii="Marianne" w:hAnsi="Marianne"/>
          <w:bCs/>
          <w:sz w:val="20"/>
          <w:szCs w:val="20"/>
          <w:vertAlign w:val="superscript"/>
          <w:lang w:val="fr-FR"/>
        </w:rPr>
        <w:t>er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>). L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>a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>possibilité de définir de manière extensive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la notion de débiteur, incluant une majorité d’actionnaires ou de détenteurs de capital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>, est également ouverte (considérant (53)</w:t>
      </w:r>
      <w:r w:rsidRPr="00575E58">
        <w:rPr>
          <w:rFonts w:ascii="Marianne" w:hAnsi="Marianne"/>
          <w:bCs/>
          <w:sz w:val="20"/>
          <w:szCs w:val="20"/>
          <w:lang w:val="fr-FR"/>
        </w:rPr>
        <w:t>.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 xml:space="preserve"> Les répondants sont invités à donner leur avis sur 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>ces deux options.</w:t>
      </w:r>
    </w:p>
    <w:p w:rsidR="002A1ACC" w:rsidRPr="00575E58" w:rsidRDefault="002A1ACC" w:rsidP="002A1ACC">
      <w:pPr>
        <w:pStyle w:val="Paragraphedeliste"/>
        <w:rPr>
          <w:rFonts w:ascii="Marianne" w:hAnsi="Marianne"/>
          <w:sz w:val="20"/>
          <w:szCs w:val="20"/>
          <w:lang w:val="fr-FR"/>
        </w:rPr>
      </w:pPr>
    </w:p>
    <w:p w:rsidR="002A1ACC" w:rsidRPr="00575E58" w:rsidRDefault="002A1ACC" w:rsidP="002A1ACC">
      <w:p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/>
          <w:bCs/>
          <w:sz w:val="20"/>
          <w:szCs w:val="20"/>
          <w:lang w:val="fr-FR"/>
        </w:rPr>
        <w:t>7°) Règle de priorité</w:t>
      </w:r>
      <w:r w:rsidRPr="00575E58">
        <w:rPr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 xml:space="preserve">absolue ou relative 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>pour l’application forcée interclasses</w:t>
      </w:r>
      <w:r w:rsidRPr="00575E58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>: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>Il est proposé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de retenir à titre principal la règle de priorité absolue et de transposer la possibilité ouverte au tribunal de déroger à cette règle de manière encadrée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 xml:space="preserve"> (article 11 para. 2, 2</w:t>
      </w:r>
      <w:r w:rsidR="00195BC0" w:rsidRPr="00575E58">
        <w:rPr>
          <w:rFonts w:ascii="Marianne" w:hAnsi="Marianne"/>
          <w:bCs/>
          <w:sz w:val="20"/>
          <w:szCs w:val="20"/>
          <w:vertAlign w:val="superscript"/>
          <w:lang w:val="fr-FR"/>
        </w:rPr>
        <w:t>e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 xml:space="preserve"> al.)</w:t>
      </w:r>
      <w:r w:rsidRPr="00575E58">
        <w:rPr>
          <w:rFonts w:ascii="Marianne" w:hAnsi="Marianne"/>
          <w:bCs/>
          <w:sz w:val="20"/>
          <w:szCs w:val="20"/>
          <w:lang w:val="fr-FR"/>
        </w:rPr>
        <w:t>.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 xml:space="preserve"> Cette proposition qui prend en compte les travaux effectués en Allemagne pour la transposition de la directive, est ouverte à discussion.</w:t>
      </w:r>
    </w:p>
    <w:p w:rsidR="002A1ACC" w:rsidRPr="00575E58" w:rsidRDefault="002A1ACC" w:rsidP="002A1ACC">
      <w:pPr>
        <w:jc w:val="both"/>
        <w:rPr>
          <w:rFonts w:ascii="Marianne" w:hAnsi="Marianne"/>
          <w:sz w:val="20"/>
          <w:szCs w:val="20"/>
          <w:lang w:val="fr-FR"/>
        </w:rPr>
      </w:pPr>
    </w:p>
    <w:p w:rsidR="002A1ACC" w:rsidRPr="00575E58" w:rsidRDefault="002A1ACC" w:rsidP="0016389E">
      <w:p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/>
          <w:sz w:val="20"/>
          <w:szCs w:val="20"/>
          <w:lang w:val="fr-FR"/>
        </w:rPr>
        <w:t>8°) Faculté pour le tribunal d’imposer un plan en cas d’échec du vote des classes de créanciers</w:t>
      </w:r>
      <w:r w:rsidRPr="00575E58">
        <w:rPr>
          <w:rFonts w:ascii="Calibri" w:hAnsi="Calibri" w:cs="Calibri"/>
          <w:b/>
          <w:sz w:val="20"/>
          <w:szCs w:val="20"/>
          <w:lang w:val="fr-FR"/>
        </w:rPr>
        <w:t> </w:t>
      </w:r>
      <w:r w:rsidRPr="00575E58">
        <w:rPr>
          <w:rFonts w:ascii="Marianne" w:hAnsi="Marianne"/>
          <w:b/>
          <w:sz w:val="20"/>
          <w:szCs w:val="20"/>
          <w:lang w:val="fr-FR"/>
        </w:rPr>
        <w:t>:</w:t>
      </w:r>
      <w:r w:rsidRPr="00575E58">
        <w:rPr>
          <w:rFonts w:ascii="Marianne" w:hAnsi="Marianne"/>
          <w:sz w:val="20"/>
          <w:szCs w:val="20"/>
          <w:lang w:val="fr-FR"/>
        </w:rPr>
        <w:t xml:space="preserve"> 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En cas d’échec 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du vote des créanciers sur le projet de plan, 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>il est proposé de retenir</w:t>
      </w:r>
      <w:r w:rsidRPr="00575E58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575E58">
        <w:rPr>
          <w:rFonts w:ascii="Marianne" w:hAnsi="Marianne"/>
          <w:bCs/>
          <w:sz w:val="20"/>
          <w:szCs w:val="20"/>
          <w:lang w:val="fr-FR"/>
        </w:rPr>
        <w:t>:</w:t>
      </w:r>
    </w:p>
    <w:p w:rsidR="002A1ACC" w:rsidRPr="00575E58" w:rsidRDefault="002A1ACC" w:rsidP="002A1ACC">
      <w:pPr>
        <w:pStyle w:val="Paragraphedeliste"/>
        <w:numPr>
          <w:ilvl w:val="1"/>
          <w:numId w:val="5"/>
        </w:num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Cs/>
          <w:sz w:val="20"/>
          <w:szCs w:val="20"/>
          <w:lang w:val="fr-FR"/>
        </w:rPr>
        <w:t xml:space="preserve">L’impossibilité de saisir le tribunal aux fins 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>d’imposer un plan en cas d’échec de l’adoption du plan en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sauvegarde accélérée</w:t>
      </w:r>
      <w:r w:rsidR="00B802CE">
        <w:rPr>
          <w:rFonts w:ascii="Marianne" w:hAnsi="Marianne"/>
          <w:bCs/>
          <w:sz w:val="20"/>
          <w:szCs w:val="20"/>
          <w:lang w:val="fr-FR"/>
        </w:rPr>
        <w:t xml:space="preserve"> et en sauvegarde de droit commun</w:t>
      </w:r>
      <w:r w:rsidRPr="00575E58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575E58">
        <w:rPr>
          <w:rFonts w:ascii="Marianne" w:hAnsi="Marianne"/>
          <w:bCs/>
          <w:sz w:val="20"/>
          <w:szCs w:val="20"/>
          <w:lang w:val="fr-FR"/>
        </w:rPr>
        <w:t>;</w:t>
      </w:r>
    </w:p>
    <w:p w:rsidR="002A1ACC" w:rsidRPr="00575E58" w:rsidRDefault="002A1ACC" w:rsidP="002A1ACC">
      <w:pPr>
        <w:pStyle w:val="Paragraphedeliste"/>
        <w:numPr>
          <w:ilvl w:val="1"/>
          <w:numId w:val="5"/>
        </w:numPr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Cs/>
          <w:sz w:val="20"/>
          <w:szCs w:val="20"/>
          <w:lang w:val="fr-FR"/>
        </w:rPr>
        <w:t xml:space="preserve">le maintien de la possibilité pour le tribunal d’imposer un plan alternatif et des délais de remboursement </w:t>
      </w:r>
      <w:r w:rsidR="00F22F2D" w:rsidRPr="00575E58">
        <w:rPr>
          <w:rFonts w:ascii="Marianne" w:hAnsi="Marianne"/>
          <w:bCs/>
          <w:sz w:val="20"/>
          <w:szCs w:val="20"/>
          <w:lang w:val="fr-FR"/>
        </w:rPr>
        <w:t>uniquement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en redressement judiciaire.</w:t>
      </w:r>
    </w:p>
    <w:p w:rsidR="00F22F2D" w:rsidRPr="00575E58" w:rsidRDefault="00F22F2D" w:rsidP="0016389E">
      <w:pPr>
        <w:pStyle w:val="Paragraphedeliste"/>
        <w:ind w:left="1222" w:firstLine="0"/>
        <w:jc w:val="both"/>
        <w:rPr>
          <w:rFonts w:ascii="Marianne" w:hAnsi="Marianne"/>
          <w:sz w:val="20"/>
          <w:szCs w:val="20"/>
          <w:lang w:val="fr-FR"/>
        </w:rPr>
      </w:pPr>
    </w:p>
    <w:p w:rsidR="00F22F2D" w:rsidRPr="00575E58" w:rsidRDefault="00F22F2D" w:rsidP="00F22F2D">
      <w:pPr>
        <w:pStyle w:val="Paragraphedeliste"/>
        <w:ind w:left="0" w:firstLine="0"/>
        <w:jc w:val="both"/>
        <w:rPr>
          <w:rFonts w:ascii="Marianne" w:hAnsi="Marianne"/>
          <w:sz w:val="20"/>
          <w:szCs w:val="20"/>
          <w:lang w:val="fr-FR"/>
        </w:rPr>
      </w:pPr>
      <w:r w:rsidRPr="00575E58">
        <w:rPr>
          <w:rFonts w:ascii="Marianne" w:hAnsi="Marianne"/>
          <w:bCs/>
          <w:sz w:val="20"/>
          <w:szCs w:val="20"/>
          <w:lang w:val="fr-FR"/>
        </w:rPr>
        <w:t>La possibilité pour le tribunal d’imposer un plan serait ainsi supprimée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 xml:space="preserve"> en sauvegarde</w:t>
      </w:r>
      <w:r w:rsidRPr="00575E58">
        <w:rPr>
          <w:rFonts w:ascii="Marianne" w:hAnsi="Marianne"/>
          <w:bCs/>
          <w:sz w:val="20"/>
          <w:szCs w:val="20"/>
          <w:lang w:val="fr-FR"/>
        </w:rPr>
        <w:t>, au-delà du seuil précité (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>ainsi que, éventuellement</w:t>
      </w:r>
      <w:r w:rsidRPr="00575E58">
        <w:rPr>
          <w:rFonts w:ascii="Marianne" w:hAnsi="Marianne"/>
          <w:bCs/>
          <w:sz w:val="20"/>
          <w:szCs w:val="20"/>
          <w:lang w:val="fr-FR"/>
        </w:rPr>
        <w:t>, en dessous de ce seuil, en cas de soumission volontaire du débiteur, au système des classes de créanciers). Cette orientation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>,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soumise à discussion</w:t>
      </w:r>
      <w:r w:rsidR="00195BC0" w:rsidRPr="00575E58">
        <w:rPr>
          <w:rFonts w:ascii="Marianne" w:hAnsi="Marianne"/>
          <w:bCs/>
          <w:sz w:val="20"/>
          <w:szCs w:val="20"/>
          <w:lang w:val="fr-FR"/>
        </w:rPr>
        <w:t>,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pose plus généralement la question du devenir </w:t>
      </w:r>
      <w:r w:rsidR="00B802CE">
        <w:rPr>
          <w:rFonts w:ascii="Marianne" w:hAnsi="Marianne"/>
          <w:bCs/>
          <w:sz w:val="20"/>
          <w:szCs w:val="20"/>
          <w:lang w:val="fr-FR"/>
        </w:rPr>
        <w:t xml:space="preserve">à terme 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de la procédure de sauvegarde. Une option alternative pourrait consister à réduire les pouvoirs du tribunal si l’on conservait la possibilité pour le tribunal d’imposer un plan en sauvegarde de droit commun (non accélérée). Les répondants sont invités à 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 xml:space="preserve">réagir sur ces </w:t>
      </w:r>
      <w:r w:rsidR="00B802CE">
        <w:rPr>
          <w:rFonts w:ascii="Marianne" w:hAnsi="Marianne"/>
          <w:bCs/>
          <w:sz w:val="20"/>
          <w:szCs w:val="20"/>
          <w:lang w:val="fr-FR"/>
        </w:rPr>
        <w:t xml:space="preserve">différentes 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 xml:space="preserve">propositions et à 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faire 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 xml:space="preserve">notamment 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le lien entre cette question et 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>le seuil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qui serait retenu pour 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>l’application obligatoire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du système des classes de créanciers. </w:t>
      </w:r>
    </w:p>
    <w:p w:rsidR="002A1ACC" w:rsidRPr="00575E58" w:rsidRDefault="002A1ACC" w:rsidP="002A1ACC">
      <w:pPr>
        <w:pStyle w:val="Paragraphedeliste"/>
        <w:rPr>
          <w:rFonts w:ascii="Marianne" w:hAnsi="Marianne"/>
          <w:bCs/>
          <w:sz w:val="20"/>
          <w:szCs w:val="20"/>
          <w:lang w:val="fr-FR"/>
        </w:rPr>
      </w:pPr>
    </w:p>
    <w:p w:rsidR="008F263D" w:rsidRPr="00575E58" w:rsidRDefault="002A1ACC" w:rsidP="0016389E">
      <w:pPr>
        <w:jc w:val="both"/>
        <w:rPr>
          <w:rFonts w:ascii="Marianne" w:hAnsi="Marianne" w:cs="Times New Roman"/>
          <w:sz w:val="20"/>
          <w:szCs w:val="20"/>
          <w:lang w:val="fr-FR" w:eastAsia="fr-FR"/>
        </w:rPr>
      </w:pPr>
      <w:r w:rsidRPr="00575E58">
        <w:rPr>
          <w:rFonts w:ascii="Marianne" w:hAnsi="Marianne"/>
          <w:b/>
          <w:bCs/>
          <w:sz w:val="20"/>
          <w:szCs w:val="20"/>
          <w:lang w:val="fr-FR"/>
        </w:rPr>
        <w:t xml:space="preserve">9°) Durée des </w:t>
      </w:r>
      <w:r w:rsidR="00575E58" w:rsidRPr="00575E58">
        <w:rPr>
          <w:rFonts w:ascii="Marianne" w:hAnsi="Marianne"/>
          <w:b/>
          <w:bCs/>
          <w:sz w:val="20"/>
          <w:szCs w:val="20"/>
          <w:lang w:val="fr-FR"/>
        </w:rPr>
        <w:t>périodes d’observation</w:t>
      </w:r>
      <w:r w:rsidR="005C7591" w:rsidRPr="00575E58">
        <w:rPr>
          <w:rFonts w:ascii="Marianne" w:hAnsi="Marianne"/>
          <w:b/>
          <w:bCs/>
          <w:sz w:val="20"/>
          <w:szCs w:val="20"/>
          <w:lang w:val="fr-FR"/>
        </w:rPr>
        <w:t xml:space="preserve"> </w:t>
      </w:r>
      <w:r w:rsidR="004E0285" w:rsidRPr="00575E58">
        <w:rPr>
          <w:rFonts w:ascii="Marianne" w:hAnsi="Marianne"/>
          <w:b/>
          <w:bCs/>
          <w:sz w:val="20"/>
          <w:szCs w:val="20"/>
          <w:lang w:val="fr-FR"/>
        </w:rPr>
        <w:t xml:space="preserve">(hors la sauvegarde accélérée) </w:t>
      </w:r>
      <w:r w:rsidR="005C7591" w:rsidRPr="00575E58">
        <w:rPr>
          <w:rFonts w:ascii="Marianne" w:hAnsi="Marianne"/>
          <w:b/>
          <w:bCs/>
          <w:sz w:val="20"/>
          <w:szCs w:val="20"/>
          <w:lang w:val="fr-FR"/>
        </w:rPr>
        <w:t xml:space="preserve">et des 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>plans</w:t>
      </w:r>
      <w:r w:rsidRPr="00575E58">
        <w:rPr>
          <w:rFonts w:ascii="Marianne" w:hAnsi="Marianne" w:cs="Calibri"/>
          <w:bCs/>
          <w:sz w:val="20"/>
          <w:szCs w:val="20"/>
          <w:lang w:val="fr-FR"/>
        </w:rPr>
        <w:t xml:space="preserve"> </w:t>
      </w:r>
      <w:r w:rsidRPr="00575E58">
        <w:rPr>
          <w:rFonts w:ascii="Marianne" w:hAnsi="Marianne" w:cs="Calibri"/>
          <w:b/>
          <w:bCs/>
          <w:sz w:val="20"/>
          <w:szCs w:val="20"/>
          <w:lang w:val="fr-FR"/>
        </w:rPr>
        <w:t xml:space="preserve">décidés par le tribunal </w:t>
      </w:r>
      <w:r w:rsidRPr="00575E58">
        <w:rPr>
          <w:rFonts w:ascii="Marianne" w:hAnsi="Marianne"/>
          <w:b/>
          <w:bCs/>
          <w:sz w:val="20"/>
          <w:szCs w:val="20"/>
          <w:lang w:val="fr-FR"/>
        </w:rPr>
        <w:t>: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</w:t>
      </w:r>
      <w:r w:rsidR="000827A6" w:rsidRPr="00575E58">
        <w:rPr>
          <w:rFonts w:ascii="Marianne" w:hAnsi="Marianne"/>
          <w:bCs/>
          <w:sz w:val="20"/>
          <w:szCs w:val="20"/>
          <w:lang w:val="fr-FR"/>
        </w:rPr>
        <w:t>I</w:t>
      </w:r>
      <w:r w:rsidRPr="00575E58">
        <w:rPr>
          <w:rFonts w:ascii="Marianne" w:hAnsi="Marianne"/>
          <w:bCs/>
          <w:sz w:val="20"/>
          <w:szCs w:val="20"/>
          <w:lang w:val="fr-FR"/>
        </w:rPr>
        <w:t>l est proposé</w:t>
      </w:r>
      <w:r w:rsidR="005C7591" w:rsidRPr="00575E58">
        <w:rPr>
          <w:rFonts w:ascii="Marianne" w:hAnsi="Marianne"/>
          <w:bCs/>
          <w:sz w:val="20"/>
          <w:szCs w:val="20"/>
          <w:lang w:val="fr-FR"/>
        </w:rPr>
        <w:t xml:space="preserve"> 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 xml:space="preserve">de retenir </w:t>
      </w:r>
      <w:r w:rsidR="005C7591" w:rsidRPr="00575E58">
        <w:rPr>
          <w:rFonts w:ascii="Marianne" w:hAnsi="Marianne"/>
          <w:bCs/>
          <w:sz w:val="20"/>
          <w:szCs w:val="20"/>
          <w:lang w:val="fr-FR"/>
        </w:rPr>
        <w:t>une durée de la période d’observation limitée à 12 mois (sans dérogation) en sauvegarde de droit commun (non accélérée) et</w:t>
      </w:r>
      <w:r w:rsidR="005C7591" w:rsidRPr="00575E58">
        <w:rPr>
          <w:rFonts w:ascii="Marianne" w:hAnsi="Marianne" w:cs="Calibri"/>
          <w:bCs/>
          <w:sz w:val="20"/>
          <w:szCs w:val="20"/>
          <w:lang w:val="fr-FR"/>
        </w:rPr>
        <w:t xml:space="preserve"> de maintenir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 </w:t>
      </w:r>
      <w:r w:rsidR="005C7591" w:rsidRPr="00575E58">
        <w:rPr>
          <w:rFonts w:ascii="Marianne" w:hAnsi="Marianne"/>
          <w:bCs/>
          <w:sz w:val="20"/>
          <w:szCs w:val="20"/>
          <w:lang w:val="fr-FR"/>
        </w:rPr>
        <w:t xml:space="preserve">la durée actuelle (avec dérogation possible jusqu’à 18 mois) en redressement judiciaire. La durée des plans serait de 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10 ans </w:t>
      </w:r>
      <w:r w:rsidR="005C7591" w:rsidRPr="00575E58">
        <w:rPr>
          <w:rFonts w:ascii="Marianne" w:hAnsi="Marianne"/>
          <w:bCs/>
          <w:sz w:val="20"/>
          <w:szCs w:val="20"/>
          <w:lang w:val="fr-FR"/>
        </w:rPr>
        <w:t xml:space="preserve">maximum </w:t>
      </w:r>
      <w:r w:rsidRPr="00575E58">
        <w:rPr>
          <w:rFonts w:ascii="Marianne" w:hAnsi="Marianne"/>
          <w:bCs/>
          <w:sz w:val="20"/>
          <w:szCs w:val="20"/>
          <w:lang w:val="fr-FR"/>
        </w:rPr>
        <w:t xml:space="preserve">en redressement judiciaire, durée réduite à 8 ans </w:t>
      </w:r>
      <w:r w:rsidR="005C7591" w:rsidRPr="00575E58">
        <w:rPr>
          <w:rFonts w:ascii="Marianne" w:hAnsi="Marianne"/>
          <w:bCs/>
          <w:sz w:val="20"/>
          <w:szCs w:val="20"/>
          <w:lang w:val="fr-FR"/>
        </w:rPr>
        <w:t xml:space="preserve">maximum </w:t>
      </w:r>
      <w:r w:rsidRPr="00575E58">
        <w:rPr>
          <w:rFonts w:ascii="Marianne" w:hAnsi="Marianne"/>
          <w:bCs/>
          <w:sz w:val="20"/>
          <w:szCs w:val="20"/>
          <w:lang w:val="fr-FR"/>
        </w:rPr>
        <w:t>en sauvegarde</w:t>
      </w:r>
      <w:r w:rsidR="004E0285" w:rsidRPr="00575E58">
        <w:rPr>
          <w:rFonts w:ascii="Marianne" w:hAnsi="Marianne"/>
          <w:bCs/>
          <w:sz w:val="20"/>
          <w:szCs w:val="20"/>
          <w:lang w:val="fr-FR"/>
        </w:rPr>
        <w:t xml:space="preserve"> de droit commun</w:t>
      </w:r>
      <w:r w:rsidR="000C7F52" w:rsidRPr="00575E58">
        <w:rPr>
          <w:rFonts w:ascii="Marianne" w:hAnsi="Marianne"/>
          <w:bCs/>
          <w:sz w:val="20"/>
          <w:szCs w:val="20"/>
          <w:lang w:val="fr-FR"/>
        </w:rPr>
        <w:t>, pour l’hypothèse d’un plan arrêté par le tribunal</w:t>
      </w:r>
      <w:r w:rsidRPr="00575E58">
        <w:rPr>
          <w:rFonts w:ascii="Marianne" w:hAnsi="Marianne"/>
          <w:bCs/>
          <w:sz w:val="20"/>
          <w:szCs w:val="20"/>
          <w:lang w:val="fr-FR"/>
        </w:rPr>
        <w:t>.</w:t>
      </w:r>
      <w:r w:rsidR="0016389E" w:rsidRPr="00575E58">
        <w:rPr>
          <w:rFonts w:ascii="Marianne" w:hAnsi="Marianne" w:cs="Times New Roman"/>
          <w:sz w:val="20"/>
          <w:szCs w:val="20"/>
          <w:lang w:val="fr-FR" w:eastAsia="fr-FR"/>
        </w:rPr>
        <w:t xml:space="preserve"> </w:t>
      </w:r>
    </w:p>
    <w:p w:rsidR="000827A6" w:rsidRPr="00575E58" w:rsidRDefault="000827A6" w:rsidP="000827A6">
      <w:pPr>
        <w:jc w:val="both"/>
        <w:rPr>
          <w:rFonts w:ascii="Marianne" w:hAnsi="Marianne" w:cs="Times New Roman"/>
          <w:sz w:val="20"/>
          <w:szCs w:val="20"/>
          <w:lang w:val="fr-FR" w:eastAsia="fr-FR"/>
        </w:rPr>
      </w:pPr>
    </w:p>
    <w:p w:rsidR="00FB6C45" w:rsidRPr="00575E58" w:rsidRDefault="00FB6C45" w:rsidP="000827A6">
      <w:pPr>
        <w:jc w:val="both"/>
        <w:rPr>
          <w:rFonts w:ascii="Marianne" w:hAnsi="Marianne" w:cs="Times New Roman"/>
          <w:sz w:val="20"/>
          <w:szCs w:val="20"/>
          <w:lang w:val="fr-FR" w:eastAsia="fr-FR"/>
        </w:rPr>
      </w:pPr>
      <w:r w:rsidRPr="00575E58">
        <w:rPr>
          <w:rFonts w:ascii="Marianne" w:hAnsi="Marianne" w:cs="Times New Roman"/>
          <w:sz w:val="20"/>
          <w:szCs w:val="20"/>
          <w:lang w:val="fr-FR" w:eastAsia="fr-FR"/>
        </w:rPr>
        <w:t>E</w:t>
      </w:r>
      <w:r w:rsidR="00BD36A5" w:rsidRPr="00575E58">
        <w:rPr>
          <w:rFonts w:ascii="Marianne" w:hAnsi="Marianne" w:cs="Times New Roman"/>
          <w:sz w:val="20"/>
          <w:szCs w:val="20"/>
          <w:lang w:val="fr-FR" w:eastAsia="fr-FR"/>
        </w:rPr>
        <w:t>n complément de ces orientations pour la transposition du titre II</w:t>
      </w:r>
      <w:r w:rsidR="00551F08" w:rsidRPr="00575E58">
        <w:rPr>
          <w:rFonts w:ascii="Marianne" w:hAnsi="Marianne" w:cs="Times New Roman"/>
          <w:sz w:val="20"/>
          <w:szCs w:val="20"/>
          <w:lang w:val="fr-FR" w:eastAsia="fr-FR"/>
        </w:rPr>
        <w:t xml:space="preserve"> de la directive</w:t>
      </w:r>
      <w:r w:rsidR="00BD36A5" w:rsidRPr="00575E58">
        <w:rPr>
          <w:rFonts w:ascii="Marianne" w:hAnsi="Marianne" w:cs="Times New Roman"/>
          <w:sz w:val="20"/>
          <w:szCs w:val="20"/>
          <w:lang w:val="fr-FR" w:eastAsia="fr-FR"/>
        </w:rPr>
        <w:t xml:space="preserve">, il est prévu d’exiger que soit annexé au protocole d’accord </w:t>
      </w:r>
      <w:r w:rsidR="00192D56" w:rsidRPr="00575E58">
        <w:rPr>
          <w:rFonts w:ascii="Marianne" w:hAnsi="Marianne" w:cs="Times New Roman"/>
          <w:sz w:val="20"/>
          <w:szCs w:val="20"/>
          <w:lang w:val="fr-FR" w:eastAsia="fr-FR"/>
        </w:rPr>
        <w:t>de conciliation homologué</w:t>
      </w:r>
      <w:r w:rsidR="00BD36A5" w:rsidRPr="00575E58">
        <w:rPr>
          <w:rFonts w:ascii="Marianne" w:hAnsi="Marianne" w:cs="Times New Roman"/>
          <w:sz w:val="20"/>
          <w:szCs w:val="20"/>
          <w:lang w:val="fr-FR" w:eastAsia="fr-FR"/>
        </w:rPr>
        <w:t>, un récapitulatif des frais de conseil mis à la charge du débiteur.</w:t>
      </w:r>
      <w:r w:rsidR="00192D56" w:rsidRPr="00575E58">
        <w:rPr>
          <w:rFonts w:ascii="Marianne" w:hAnsi="Marianne" w:cs="Times New Roman"/>
          <w:sz w:val="20"/>
          <w:szCs w:val="20"/>
          <w:lang w:val="fr-FR" w:eastAsia="fr-FR"/>
        </w:rPr>
        <w:t xml:space="preserve"> </w:t>
      </w:r>
    </w:p>
    <w:p w:rsidR="008F263D" w:rsidRPr="00575E58" w:rsidRDefault="008F263D" w:rsidP="005B57C0">
      <w:pPr>
        <w:tabs>
          <w:tab w:val="left" w:pos="2565"/>
        </w:tabs>
        <w:rPr>
          <w:rFonts w:ascii="Marianne" w:hAnsi="Marianne" w:cs="Times New Roman"/>
          <w:sz w:val="20"/>
          <w:szCs w:val="20"/>
          <w:lang w:val="fr-FR" w:eastAsia="fr-FR"/>
        </w:rPr>
      </w:pPr>
    </w:p>
    <w:sectPr w:rsidR="008F263D" w:rsidRPr="00575E58" w:rsidSect="002C53DF">
      <w:headerReference w:type="default" r:id="rId11"/>
      <w:footerReference w:type="default" r:id="rId12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26" w:rsidRDefault="00ED2C26" w:rsidP="0079276E">
      <w:r>
        <w:separator/>
      </w:r>
    </w:p>
  </w:endnote>
  <w:endnote w:type="continuationSeparator" w:id="0">
    <w:p w:rsidR="00ED2C26" w:rsidRDefault="00ED2C2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27" w:rsidRDefault="00165227" w:rsidP="002F5335">
    <w:pPr>
      <w:pStyle w:val="Pieddepage"/>
      <w:framePr w:wrap="none" w:vAnchor="text" w:hAnchor="margin" w:xAlign="center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>
      <w:rPr>
        <w:rStyle w:val="Numrodepage"/>
        <w:rFonts w:cs="Arial"/>
      </w:rPr>
      <w:instrText xml:space="preserve"> PAGE </w:instrText>
    </w:r>
    <w:r>
      <w:rPr>
        <w:rStyle w:val="Numrodepage"/>
        <w:rFonts w:cs="Arial"/>
      </w:rPr>
      <w:fldChar w:fldCharType="end"/>
    </w:r>
  </w:p>
  <w:p w:rsidR="00165227" w:rsidRDefault="001652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27" w:rsidRPr="00936E45" w:rsidRDefault="00165227" w:rsidP="002C53DF">
    <w:pPr>
      <w:pStyle w:val="Pieddepage"/>
      <w:framePr w:wrap="none" w:vAnchor="text" w:hAnchor="margin" w:xAlign="center" w:y="125"/>
      <w:rPr>
        <w:rStyle w:val="Numrodepage"/>
        <w:rFonts w:cs="Arial"/>
        <w:sz w:val="14"/>
        <w:szCs w:val="14"/>
        <w:lang w:val="fr-FR"/>
      </w:rPr>
    </w:pPr>
    <w:r w:rsidRPr="00936E45">
      <w:rPr>
        <w:rStyle w:val="Numrodepage"/>
        <w:rFonts w:cs="Arial"/>
        <w:sz w:val="14"/>
        <w:szCs w:val="14"/>
        <w:lang w:val="fr-FR"/>
      </w:rPr>
      <w:fldChar w:fldCharType="begin"/>
    </w:r>
    <w:r w:rsidRPr="00936E45">
      <w:rPr>
        <w:rStyle w:val="Numrodepage"/>
        <w:rFonts w:cs="Arial"/>
        <w:sz w:val="14"/>
        <w:szCs w:val="14"/>
        <w:lang w:val="fr-FR"/>
      </w:rPr>
      <w:instrText xml:space="preserve"> PAGE </w:instrText>
    </w:r>
    <w:r w:rsidRPr="00936E45">
      <w:rPr>
        <w:rStyle w:val="Numrodepage"/>
        <w:rFonts w:cs="Arial"/>
        <w:sz w:val="14"/>
        <w:szCs w:val="14"/>
        <w:lang w:val="fr-FR"/>
      </w:rPr>
      <w:fldChar w:fldCharType="separate"/>
    </w:r>
    <w:r w:rsidR="0007059C">
      <w:rPr>
        <w:rStyle w:val="Numrodepage"/>
        <w:rFonts w:cs="Arial"/>
        <w:noProof/>
        <w:sz w:val="14"/>
        <w:szCs w:val="14"/>
        <w:lang w:val="fr-FR"/>
      </w:rPr>
      <w:t>2</w:t>
    </w:r>
    <w:r w:rsidRPr="00936E45">
      <w:rPr>
        <w:rStyle w:val="Numrodepage"/>
        <w:rFonts w:cs="Arial"/>
        <w:sz w:val="14"/>
        <w:szCs w:val="14"/>
        <w:lang w:val="fr-FR"/>
      </w:rPr>
      <w:fldChar w:fldCharType="end"/>
    </w:r>
  </w:p>
  <w:p w:rsidR="00265D16" w:rsidRPr="004E623E" w:rsidRDefault="00265D1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26" w:rsidRDefault="00ED2C26" w:rsidP="0079276E">
      <w:r>
        <w:separator/>
      </w:r>
    </w:p>
  </w:footnote>
  <w:footnote w:type="continuationSeparator" w:id="0">
    <w:p w:rsidR="00ED2C26" w:rsidRDefault="00ED2C2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19" w:rsidRDefault="00424B19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Pr="00424B19">
      <w:rPr>
        <w:noProof/>
        <w:lang w:val="fr-FR"/>
      </w:rPr>
      <w:t>1</w:t>
    </w:r>
    <w:r>
      <w:fldChar w:fldCharType="end"/>
    </w:r>
  </w:p>
  <w:p w:rsidR="00424B19" w:rsidRDefault="00424B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9A6" w:rsidRPr="00D039A6" w:rsidRDefault="00294CEC" w:rsidP="00D039A6">
    <w:pPr>
      <w:pStyle w:val="Corpsdetexte"/>
    </w:pPr>
    <w:r>
      <w:rPr>
        <w:rFonts w:ascii="Marianne" w:hAnsi="Marianne"/>
        <w:sz w:val="24"/>
        <w:szCs w:val="24"/>
      </w:rPr>
      <w:tab/>
    </w:r>
    <w:r>
      <w:rPr>
        <w:rFonts w:ascii="Marianne" w:hAnsi="Marianne"/>
        <w:sz w:val="24"/>
        <w:szCs w:val="24"/>
      </w:rPr>
      <w:tab/>
    </w:r>
    <w:r>
      <w:rPr>
        <w:rFonts w:ascii="Marianne" w:hAnsi="Marianne"/>
        <w:sz w:val="24"/>
        <w:szCs w:val="24"/>
      </w:rPr>
      <w:tab/>
    </w:r>
    <w:r>
      <w:rPr>
        <w:rFonts w:ascii="Marianne" w:hAnsi="Marianne"/>
        <w:sz w:val="24"/>
        <w:szCs w:val="24"/>
      </w:rPr>
      <w:tab/>
    </w:r>
    <w:r>
      <w:rPr>
        <w:rFonts w:ascii="Marianne" w:hAnsi="Marianne"/>
        <w:sz w:val="24"/>
        <w:szCs w:val="24"/>
      </w:rPr>
      <w:tab/>
    </w:r>
    <w:r>
      <w:rPr>
        <w:rFonts w:ascii="Marianne" w:hAnsi="Marianne"/>
        <w:sz w:val="24"/>
        <w:szCs w:val="24"/>
      </w:rPr>
      <w:tab/>
    </w:r>
    <w:r>
      <w:rPr>
        <w:rFonts w:ascii="Marianne" w:hAnsi="Marianne"/>
        <w:sz w:val="24"/>
        <w:szCs w:val="24"/>
      </w:rPr>
      <w:tab/>
      <w:t xml:space="preserve">  </w:t>
    </w:r>
  </w:p>
  <w:p w:rsidR="008C1693" w:rsidRPr="008C1693" w:rsidRDefault="008C1693" w:rsidP="008C1693">
    <w:pPr>
      <w:pStyle w:val="Corpsdetexte"/>
    </w:pPr>
  </w:p>
  <w:p w:rsidR="00165227" w:rsidRPr="002A3F33" w:rsidRDefault="00165227">
    <w:pPr>
      <w:pStyle w:val="En-tte"/>
      <w:rPr>
        <w:rFonts w:ascii="Marianne" w:hAnsi="Marianne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B19" w:rsidRDefault="0007059C" w:rsidP="00424B19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0</wp:posOffset>
          </wp:positionV>
          <wp:extent cx="1449705" cy="1176020"/>
          <wp:effectExtent l="0" t="0" r="0" b="0"/>
          <wp:wrapSquare wrapText="bothSides"/>
          <wp:docPr id="2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B19">
      <w:rPr>
        <w:b/>
        <w:bCs/>
        <w:sz w:val="24"/>
        <w:szCs w:val="24"/>
      </w:rPr>
      <w:tab/>
    </w:r>
  </w:p>
  <w:p w:rsidR="00424B19" w:rsidRDefault="00424B19" w:rsidP="00424B19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24B19" w:rsidRPr="00294CEC" w:rsidRDefault="00424B19" w:rsidP="00424B19">
    <w:pPr>
      <w:pStyle w:val="ServiceInfoHeader"/>
      <w:rPr>
        <w:rFonts w:ascii="Marianne" w:hAnsi="Marianne"/>
        <w:lang w:val="fr-FR"/>
      </w:rPr>
    </w:pPr>
    <w:r w:rsidRPr="00294CEC">
      <w:rPr>
        <w:rFonts w:ascii="Marianne" w:hAnsi="Marianne"/>
        <w:lang w:val="fr-FR"/>
      </w:rPr>
      <w:t xml:space="preserve">Direction des affaires civiles </w:t>
    </w:r>
    <w:r w:rsidRPr="00294CEC">
      <w:rPr>
        <w:rFonts w:ascii="Marianne" w:hAnsi="Marianne"/>
        <w:lang w:val="fr-FR"/>
      </w:rPr>
      <w:br/>
      <w:t>et du sceau</w:t>
    </w:r>
    <w:r w:rsidRPr="00294CEC">
      <w:rPr>
        <w:rFonts w:ascii="Marianne" w:hAnsi="Marianne"/>
        <w:lang w:val="fr-FR"/>
      </w:rPr>
      <w:br/>
    </w:r>
  </w:p>
  <w:p w:rsidR="00424B19" w:rsidRPr="00E718D7" w:rsidRDefault="00424B19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27" w:rsidRPr="003240AC" w:rsidRDefault="00165227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3E"/>
    <w:multiLevelType w:val="hybridMultilevel"/>
    <w:tmpl w:val="177C3AEE"/>
    <w:lvl w:ilvl="0" w:tplc="33B4F31C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456"/>
    <w:multiLevelType w:val="hybridMultilevel"/>
    <w:tmpl w:val="FB5238AE"/>
    <w:lvl w:ilvl="0" w:tplc="D75C97CC">
      <w:numFmt w:val="bullet"/>
      <w:lvlText w:val="-"/>
      <w:lvlJc w:val="left"/>
      <w:pPr>
        <w:ind w:left="502" w:hanging="360"/>
      </w:pPr>
      <w:rPr>
        <w:rFonts w:ascii="Marianne" w:eastAsia="Calibri" w:hAnsi="Marianne" w:cs="Arial" w:hint="default"/>
        <w:b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E"/>
    <w:rsid w:val="00015220"/>
    <w:rsid w:val="000202CF"/>
    <w:rsid w:val="00046EC0"/>
    <w:rsid w:val="0007059C"/>
    <w:rsid w:val="000827A6"/>
    <w:rsid w:val="000924D0"/>
    <w:rsid w:val="000A7198"/>
    <w:rsid w:val="000C697E"/>
    <w:rsid w:val="000C7F52"/>
    <w:rsid w:val="000F4AAA"/>
    <w:rsid w:val="00110DAF"/>
    <w:rsid w:val="0015465A"/>
    <w:rsid w:val="001578EB"/>
    <w:rsid w:val="0016389E"/>
    <w:rsid w:val="00165227"/>
    <w:rsid w:val="00192D56"/>
    <w:rsid w:val="00195BC0"/>
    <w:rsid w:val="001C79E5"/>
    <w:rsid w:val="001E3D76"/>
    <w:rsid w:val="00202B2A"/>
    <w:rsid w:val="00220244"/>
    <w:rsid w:val="00225830"/>
    <w:rsid w:val="00265D16"/>
    <w:rsid w:val="00275D13"/>
    <w:rsid w:val="00290741"/>
    <w:rsid w:val="00290CE8"/>
    <w:rsid w:val="00293194"/>
    <w:rsid w:val="00294717"/>
    <w:rsid w:val="00294CEC"/>
    <w:rsid w:val="002A1ACC"/>
    <w:rsid w:val="002A3F33"/>
    <w:rsid w:val="002A4750"/>
    <w:rsid w:val="002A775C"/>
    <w:rsid w:val="002B404C"/>
    <w:rsid w:val="002C192D"/>
    <w:rsid w:val="002C3E7A"/>
    <w:rsid w:val="002C53DF"/>
    <w:rsid w:val="002F5335"/>
    <w:rsid w:val="003240AC"/>
    <w:rsid w:val="00325529"/>
    <w:rsid w:val="00356582"/>
    <w:rsid w:val="00390F5B"/>
    <w:rsid w:val="003A6FB0"/>
    <w:rsid w:val="003B0E2D"/>
    <w:rsid w:val="003B48FD"/>
    <w:rsid w:val="003D1DE1"/>
    <w:rsid w:val="003D447A"/>
    <w:rsid w:val="00416675"/>
    <w:rsid w:val="0042101F"/>
    <w:rsid w:val="00424B19"/>
    <w:rsid w:val="004529DA"/>
    <w:rsid w:val="004538B3"/>
    <w:rsid w:val="004608CD"/>
    <w:rsid w:val="00461249"/>
    <w:rsid w:val="004936AF"/>
    <w:rsid w:val="004C7346"/>
    <w:rsid w:val="004D0D46"/>
    <w:rsid w:val="004D1619"/>
    <w:rsid w:val="004E0285"/>
    <w:rsid w:val="004E623E"/>
    <w:rsid w:val="004E7415"/>
    <w:rsid w:val="0053044D"/>
    <w:rsid w:val="00533FB0"/>
    <w:rsid w:val="00551F08"/>
    <w:rsid w:val="005543F9"/>
    <w:rsid w:val="00575E58"/>
    <w:rsid w:val="00593ABF"/>
    <w:rsid w:val="005972E3"/>
    <w:rsid w:val="00597BB5"/>
    <w:rsid w:val="005B04CE"/>
    <w:rsid w:val="005B57C0"/>
    <w:rsid w:val="005B6F0D"/>
    <w:rsid w:val="005C02A8"/>
    <w:rsid w:val="005C4846"/>
    <w:rsid w:val="005C7591"/>
    <w:rsid w:val="005E2772"/>
    <w:rsid w:val="005E57C2"/>
    <w:rsid w:val="005F2E98"/>
    <w:rsid w:val="00601526"/>
    <w:rsid w:val="00625D93"/>
    <w:rsid w:val="00651077"/>
    <w:rsid w:val="00691199"/>
    <w:rsid w:val="006A05EB"/>
    <w:rsid w:val="006D502A"/>
    <w:rsid w:val="0079276E"/>
    <w:rsid w:val="007B6F11"/>
    <w:rsid w:val="00803F0D"/>
    <w:rsid w:val="00807CCD"/>
    <w:rsid w:val="0081060F"/>
    <w:rsid w:val="00825125"/>
    <w:rsid w:val="00851458"/>
    <w:rsid w:val="00854D8B"/>
    <w:rsid w:val="008551E7"/>
    <w:rsid w:val="008A73FE"/>
    <w:rsid w:val="008C1693"/>
    <w:rsid w:val="008D6AF3"/>
    <w:rsid w:val="008F0FFA"/>
    <w:rsid w:val="008F263D"/>
    <w:rsid w:val="00911BD4"/>
    <w:rsid w:val="00930B38"/>
    <w:rsid w:val="00932582"/>
    <w:rsid w:val="00936712"/>
    <w:rsid w:val="00936E45"/>
    <w:rsid w:val="00941377"/>
    <w:rsid w:val="00942B3D"/>
    <w:rsid w:val="00946B73"/>
    <w:rsid w:val="00992DBA"/>
    <w:rsid w:val="009C0C96"/>
    <w:rsid w:val="009C4F5C"/>
    <w:rsid w:val="009F56A7"/>
    <w:rsid w:val="00A10A83"/>
    <w:rsid w:val="00A1486F"/>
    <w:rsid w:val="00A30EA6"/>
    <w:rsid w:val="00A84CCB"/>
    <w:rsid w:val="00A934DC"/>
    <w:rsid w:val="00AA163A"/>
    <w:rsid w:val="00AE48FE"/>
    <w:rsid w:val="00AE63BD"/>
    <w:rsid w:val="00AF17CC"/>
    <w:rsid w:val="00AF1D5B"/>
    <w:rsid w:val="00B11A0F"/>
    <w:rsid w:val="00B46AF7"/>
    <w:rsid w:val="00B55B58"/>
    <w:rsid w:val="00B802CE"/>
    <w:rsid w:val="00BD36A5"/>
    <w:rsid w:val="00C01C7B"/>
    <w:rsid w:val="00C07D62"/>
    <w:rsid w:val="00C66322"/>
    <w:rsid w:val="00C67312"/>
    <w:rsid w:val="00C7451D"/>
    <w:rsid w:val="00CA449F"/>
    <w:rsid w:val="00CC6B03"/>
    <w:rsid w:val="00CD5E65"/>
    <w:rsid w:val="00CE7B0C"/>
    <w:rsid w:val="00D02108"/>
    <w:rsid w:val="00D039A6"/>
    <w:rsid w:val="00D10C52"/>
    <w:rsid w:val="00D17828"/>
    <w:rsid w:val="00D357D7"/>
    <w:rsid w:val="00D4509E"/>
    <w:rsid w:val="00D93B5C"/>
    <w:rsid w:val="00DA2090"/>
    <w:rsid w:val="00DC1A7B"/>
    <w:rsid w:val="00DD50D6"/>
    <w:rsid w:val="00DE4A60"/>
    <w:rsid w:val="00E05336"/>
    <w:rsid w:val="00E529F0"/>
    <w:rsid w:val="00E669F0"/>
    <w:rsid w:val="00E718D7"/>
    <w:rsid w:val="00E809C2"/>
    <w:rsid w:val="00ED2C26"/>
    <w:rsid w:val="00EF07DB"/>
    <w:rsid w:val="00EF5CF0"/>
    <w:rsid w:val="00F10608"/>
    <w:rsid w:val="00F13F1F"/>
    <w:rsid w:val="00F22CF7"/>
    <w:rsid w:val="00F22F2D"/>
    <w:rsid w:val="00F25DA3"/>
    <w:rsid w:val="00F261BB"/>
    <w:rsid w:val="00F37316"/>
    <w:rsid w:val="00F737FD"/>
    <w:rsid w:val="00F7722A"/>
    <w:rsid w:val="00FB6C45"/>
    <w:rsid w:val="00FE5D6F"/>
    <w:rsid w:val="00FF504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82963-3AFA-4A3E-8427-145D9F92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1A0F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9413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2Car">
    <w:name w:val="Titre 2 Car"/>
    <w:link w:val="Titre2"/>
    <w:uiPriority w:val="9"/>
    <w:locked/>
    <w:rsid w:val="00941377"/>
    <w:rPr>
      <w:rFonts w:ascii="Arial" w:hAnsi="Arial" w:cs="Times New Roman"/>
      <w:color w:val="344E4A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B11A0F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link w:val="Corpsdetexte"/>
    <w:uiPriority w:val="1"/>
    <w:locked/>
    <w:rsid w:val="00DA2090"/>
    <w:rPr>
      <w:rFonts w:cs="Times New Roman"/>
      <w:sz w:val="20"/>
      <w:lang w:val="fr-FR" w:eastAsia="x-none"/>
    </w:rPr>
  </w:style>
  <w:style w:type="paragraph" w:styleId="Paragraphedeliste">
    <w:name w:val="List Paragraph"/>
    <w:basedOn w:val="Normal"/>
    <w:uiPriority w:val="72"/>
    <w:qFormat/>
    <w:rsid w:val="00B11A0F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B11A0F"/>
  </w:style>
  <w:style w:type="character" w:styleId="Lienhypertexte">
    <w:name w:val="Hyperlink"/>
    <w:uiPriority w:val="99"/>
    <w:unhideWhenUsed/>
    <w:rsid w:val="00290741"/>
    <w:rPr>
      <w:rFonts w:cs="Times New Roman"/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locked/>
    <w:rsid w:val="0079276E"/>
    <w:rPr>
      <w:rFonts w:ascii="Arial" w:eastAsia="Times New Roman" w:hAnsi="Arial" w:cs="Arial"/>
    </w:rPr>
  </w:style>
  <w:style w:type="character" w:customStyle="1" w:styleId="dateCar">
    <w:name w:val="date Car"/>
    <w:link w:val="Date1"/>
    <w:locked/>
    <w:rsid w:val="0079276E"/>
    <w:rPr>
      <w:rFonts w:ascii="Arial" w:eastAsia="Times New Roman" w:hAnsi="Arial" w:cs="Arial"/>
      <w:i/>
      <w:color w:val="231F20"/>
      <w:sz w:val="20"/>
      <w:lang w:val="fr-FR" w:eastAsia="x-none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79276E"/>
    <w:rPr>
      <w:rFonts w:ascii="Arial" w:eastAsia="Times New Roman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ObjetCar">
    <w:name w:val="Objet Car"/>
    <w:link w:val="Objet"/>
    <w:locked/>
    <w:rsid w:val="00DA2090"/>
    <w:rPr>
      <w:rFonts w:cs="Times New Roman"/>
      <w:b/>
      <w:color w:val="231F20"/>
      <w:sz w:val="20"/>
      <w:lang w:val="fr-FR" w:eastAsia="x-none"/>
    </w:rPr>
  </w:style>
  <w:style w:type="character" w:customStyle="1" w:styleId="SignatCar">
    <w:name w:val="Signat Car"/>
    <w:link w:val="Signat"/>
    <w:locked/>
    <w:rsid w:val="00F25DA3"/>
    <w:rPr>
      <w:rFonts w:ascii="Arial" w:eastAsia="Times New Roman" w:hAnsi="Arial" w:cs="Arial"/>
      <w:b/>
      <w:bCs/>
      <w:color w:val="000000"/>
      <w:sz w:val="24"/>
      <w:szCs w:val="24"/>
      <w:lang w:val="fr-FR" w:eastAsia="x-none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cs="Times New Roman"/>
      <w:b/>
      <w:sz w:val="20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bCs/>
      <w:sz w:val="16"/>
    </w:rPr>
  </w:style>
  <w:style w:type="character" w:customStyle="1" w:styleId="TitredelapageCar">
    <w:name w:val="Titre de la page Car"/>
    <w:link w:val="Titredelapage"/>
    <w:locked/>
    <w:rsid w:val="00CD5E65"/>
    <w:rPr>
      <w:rFonts w:eastAsia="Times New Roman"/>
      <w:b/>
      <w:sz w:val="20"/>
      <w:lang w:val="fr-FR" w:eastAsia="fr-FR"/>
    </w:rPr>
  </w:style>
  <w:style w:type="character" w:customStyle="1" w:styleId="Sous-titrecentrboldCar">
    <w:name w:val="Sous-titre centré bold Car"/>
    <w:link w:val="Sous-titrecentrbold"/>
    <w:locked/>
    <w:rsid w:val="00CD5E65"/>
    <w:rPr>
      <w:rFonts w:eastAsia="Times New Roman"/>
      <w:b/>
      <w:sz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locked/>
    <w:rsid w:val="00DA2090"/>
    <w:rPr>
      <w:rFonts w:cs="Times New Roman"/>
      <w:b/>
      <w:bCs/>
      <w:sz w:val="16"/>
      <w:szCs w:val="16"/>
      <w:lang w:val="fr-FR" w:eastAsia="x-none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locked/>
    <w:rsid w:val="00DA2090"/>
    <w:rPr>
      <w:rFonts w:cs="Times New Roman"/>
      <w:b/>
      <w:bCs/>
      <w:sz w:val="16"/>
      <w:szCs w:val="16"/>
      <w:lang w:val="fr-FR" w:eastAsia="x-none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locked/>
    <w:rsid w:val="00DA2090"/>
    <w:rPr>
      <w:rFonts w:cs="Times New Roman"/>
      <w:b/>
      <w:bCs/>
      <w:sz w:val="20"/>
      <w:lang w:val="fr-FR" w:eastAsia="x-none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locked/>
    <w:rsid w:val="00DA2090"/>
    <w:rPr>
      <w:rFonts w:cs="Times New Roman"/>
      <w:b/>
      <w:bCs/>
      <w:sz w:val="16"/>
      <w:szCs w:val="16"/>
      <w:lang w:val="fr-FR" w:eastAsia="x-none"/>
    </w:rPr>
  </w:style>
  <w:style w:type="character" w:customStyle="1" w:styleId="Titre3demapageCar">
    <w:name w:val="Titre 3 de ma page Car"/>
    <w:basedOn w:val="Titre2demapageCar"/>
    <w:link w:val="Titre3demapage"/>
    <w:locked/>
    <w:rsid w:val="00DA2090"/>
    <w:rPr>
      <w:rFonts w:cs="Times New Roman"/>
      <w:b/>
      <w:bCs/>
      <w:sz w:val="16"/>
      <w:szCs w:val="16"/>
      <w:lang w:val="fr-FR" w:eastAsia="x-none"/>
    </w:rPr>
  </w:style>
  <w:style w:type="table" w:styleId="Grilledutableau">
    <w:name w:val="Table Grid"/>
    <w:basedOn w:val="TableauNormal"/>
    <w:uiPriority w:val="39"/>
    <w:rsid w:val="00941377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locked/>
    <w:rsid w:val="00DA2090"/>
    <w:rPr>
      <w:rFonts w:cs="Times New Roman"/>
      <w:color w:val="231F20"/>
      <w:sz w:val="16"/>
      <w:lang w:val="fr-FR" w:eastAsia="x-none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rFonts w:cs="Times New Roman"/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locked/>
    <w:rsid w:val="005972E3"/>
    <w:rPr>
      <w:rFonts w:ascii="Arial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locked/>
    <w:rsid w:val="00DA2090"/>
    <w:rPr>
      <w:rFonts w:cs="Times New Roman"/>
      <w:sz w:val="20"/>
      <w:lang w:val="fr-FR" w:eastAsia="x-none"/>
    </w:rPr>
  </w:style>
  <w:style w:type="character" w:customStyle="1" w:styleId="ServiceInfoHeaderCar">
    <w:name w:val="Service Info Header Car"/>
    <w:link w:val="ServiceInfoHeader"/>
    <w:locked/>
    <w:rsid w:val="00DA2090"/>
    <w:rPr>
      <w:rFonts w:ascii="Arial" w:eastAsia="Times New Roman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locked/>
    <w:rsid w:val="00DA2090"/>
    <w:rPr>
      <w:rFonts w:cs="Times New Roman"/>
      <w:color w:val="939598"/>
      <w:sz w:val="14"/>
      <w:lang w:val="fr-FR" w:eastAsia="x-none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locked/>
    <w:rsid w:val="00DA2090"/>
    <w:rPr>
      <w:rFonts w:cs="Times New Roman"/>
      <w:b/>
      <w:bCs/>
      <w:sz w:val="24"/>
      <w:szCs w:val="24"/>
      <w:lang w:val="fr-FR" w:eastAsia="x-none"/>
    </w:rPr>
  </w:style>
  <w:style w:type="character" w:customStyle="1" w:styleId="TitrecentralCar">
    <w:name w:val="Titre central Car"/>
    <w:link w:val="Titrecentral"/>
    <w:locked/>
    <w:rsid w:val="00DA2090"/>
    <w:rPr>
      <w:rFonts w:ascii="Arial" w:eastAsia="Times New Roman" w:hAnsi="Arial" w:cs="Arial"/>
      <w:b/>
      <w:bCs/>
      <w:sz w:val="24"/>
      <w:szCs w:val="24"/>
      <w:lang w:val="fr-FR" w:eastAsia="x-none"/>
    </w:rPr>
  </w:style>
  <w:style w:type="character" w:styleId="Numrodepage">
    <w:name w:val="page number"/>
    <w:uiPriority w:val="99"/>
    <w:semiHidden/>
    <w:unhideWhenUsed/>
    <w:rsid w:val="002C53DF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4E623E"/>
    <w:rPr>
      <w:rFonts w:cs="Times New Roman"/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D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07D62"/>
    <w:rPr>
      <w:rFonts w:ascii="Segoe UI" w:hAnsi="Segoe UI" w:cs="Segoe UI"/>
      <w:sz w:val="18"/>
      <w:szCs w:val="18"/>
      <w:lang w:val="en-US" w:eastAsia="en-US"/>
    </w:rPr>
  </w:style>
  <w:style w:type="paragraph" w:customStyle="1" w:styleId="texte">
    <w:name w:val="texte"/>
    <w:basedOn w:val="Normal"/>
    <w:link w:val="texteCar"/>
    <w:qFormat/>
    <w:rsid w:val="002A1ACC"/>
    <w:pPr>
      <w:adjustRightInd w:val="0"/>
      <w:spacing w:after="120"/>
      <w:jc w:val="both"/>
      <w:textAlignment w:val="center"/>
    </w:pPr>
    <w:rPr>
      <w:rFonts w:ascii="Marianne" w:eastAsia="Arial" w:hAnsi="Marianne"/>
      <w:sz w:val="20"/>
      <w:szCs w:val="20"/>
      <w:lang w:val="fr-FR"/>
    </w:rPr>
  </w:style>
  <w:style w:type="character" w:customStyle="1" w:styleId="texteCar">
    <w:name w:val="texte Car"/>
    <w:link w:val="texte"/>
    <w:rsid w:val="002A1ACC"/>
    <w:rPr>
      <w:rFonts w:ascii="Marianne" w:eastAsia="Arial" w:hAnsi="Marianne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puech\Desktop\Note_MIN_Just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Note_MIN_Justice.dotx</Template>
  <TotalTime>0</TotalTime>
  <Pages>2</Pages>
  <Words>1010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Impression</vt:lpstr>
      <vt:lpstr>Impression</vt:lpstr>
    </vt:vector>
  </TitlesOfParts>
  <Company>MDLJ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PUECH Emilie</dc:creator>
  <cp:keywords/>
  <cp:lastModifiedBy>ROSIER Julien</cp:lastModifiedBy>
  <cp:revision>2</cp:revision>
  <cp:lastPrinted>2020-12-18T14:19:00Z</cp:lastPrinted>
  <dcterms:created xsi:type="dcterms:W3CDTF">2021-01-04T13:46:00Z</dcterms:created>
  <dcterms:modified xsi:type="dcterms:W3CDTF">2021-01-04T13:46:00Z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